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line="560" w:lineRule="exact"/>
        <w:jc w:val="center"/>
        <w:textAlignment w:val="auto"/>
        <w:rPr>
          <w:rFonts w:hint="eastAsia" w:ascii="华文中宋" w:hAnsi="华文中宋" w:eastAsia="华文中宋" w:cs="华文中宋"/>
          <w:b/>
          <w:bCs w:val="0"/>
          <w:color w:val="auto"/>
          <w:spacing w:val="0"/>
          <w:sz w:val="44"/>
          <w:szCs w:val="44"/>
          <w:u w:val="none"/>
          <w:lang w:eastAsia="zh-CN"/>
        </w:rPr>
      </w:pPr>
      <w:r>
        <w:rPr>
          <w:rFonts w:hint="eastAsia" w:ascii="华文中宋" w:hAnsi="华文中宋" w:eastAsia="华文中宋" w:cs="华文中宋"/>
          <w:b/>
          <w:bCs w:val="0"/>
          <w:color w:val="auto"/>
          <w:spacing w:val="0"/>
          <w:sz w:val="44"/>
          <w:szCs w:val="44"/>
          <w:u w:val="none"/>
          <w:lang w:eastAsia="zh-CN"/>
        </w:rPr>
        <w:t>衡阳技师学院校院两级财务管理实施细则</w:t>
      </w:r>
    </w:p>
    <w:p>
      <w:pPr>
        <w:keepNext w:val="0"/>
        <w:keepLines w:val="0"/>
        <w:pageBreakBefore w:val="0"/>
        <w:widowControl/>
        <w:kinsoku/>
        <w:wordWrap/>
        <w:overflowPunct/>
        <w:topLinePunct w:val="0"/>
        <w:autoSpaceDE/>
        <w:autoSpaceDN/>
        <w:bidi w:val="0"/>
        <w:adjustRightInd/>
        <w:snapToGrid/>
        <w:spacing w:line="560" w:lineRule="exact"/>
        <w:ind w:firstLine="3792" w:firstLineChars="1200"/>
        <w:jc w:val="both"/>
        <w:textAlignment w:val="auto"/>
        <w:rPr>
          <w:rFonts w:hint="eastAsia" w:ascii="楷体_GB2312" w:hAnsi="楷体_GB2312" w:eastAsia="楷体_GB2312" w:cs="楷体_GB2312"/>
          <w:b w:val="0"/>
          <w:bCs w:val="0"/>
          <w:color w:val="auto"/>
          <w:sz w:val="32"/>
          <w:szCs w:val="32"/>
          <w:u w:val="none"/>
          <w:lang w:val="en-US" w:eastAsia="zh-CN"/>
        </w:rPr>
      </w:pPr>
      <w:r>
        <w:rPr>
          <w:rFonts w:hint="eastAsia" w:ascii="楷体_GB2312" w:hAnsi="楷体_GB2312" w:eastAsia="楷体_GB2312" w:cs="楷体_GB2312"/>
          <w:b w:val="0"/>
          <w:bCs w:val="0"/>
          <w:color w:val="auto"/>
          <w:sz w:val="32"/>
          <w:szCs w:val="32"/>
          <w:u w:val="none"/>
          <w:lang w:val="en-US" w:eastAsia="zh-CN"/>
        </w:rPr>
        <w:t>( 试行 )</w:t>
      </w:r>
    </w:p>
    <w:p>
      <w:pPr>
        <w:keepNext w:val="0"/>
        <w:keepLines w:val="0"/>
        <w:pageBreakBefore w:val="0"/>
        <w:widowControl/>
        <w:kinsoku/>
        <w:wordWrap/>
        <w:overflowPunct/>
        <w:topLinePunct w:val="0"/>
        <w:autoSpaceDE/>
        <w:autoSpaceDN/>
        <w:bidi w:val="0"/>
        <w:adjustRightInd/>
        <w:snapToGrid/>
        <w:spacing w:after="157" w:afterLines="50" w:line="560" w:lineRule="exact"/>
        <w:jc w:val="center"/>
        <w:textAlignment w:val="auto"/>
        <w:rPr>
          <w:rFonts w:hint="eastAsia" w:ascii="黑体" w:hAnsi="黑体" w:eastAsia="黑体" w:cs="黑体"/>
          <w:b w:val="0"/>
          <w:bCs w:val="0"/>
          <w:color w:val="auto"/>
          <w:sz w:val="32"/>
          <w:szCs w:val="32"/>
          <w:u w:val="none"/>
        </w:rPr>
      </w:pPr>
    </w:p>
    <w:p>
      <w:pPr>
        <w:keepNext w:val="0"/>
        <w:keepLines w:val="0"/>
        <w:pageBreakBefore w:val="0"/>
        <w:widowControl/>
        <w:kinsoku/>
        <w:wordWrap/>
        <w:overflowPunct/>
        <w:topLinePunct w:val="0"/>
        <w:autoSpaceDE/>
        <w:autoSpaceDN/>
        <w:bidi w:val="0"/>
        <w:adjustRightInd/>
        <w:snapToGrid/>
        <w:spacing w:after="157" w:afterLines="50" w:line="560" w:lineRule="exact"/>
        <w:jc w:val="center"/>
        <w:textAlignment w:val="auto"/>
        <w:rPr>
          <w:rFonts w:hint="eastAsia" w:ascii="黑体" w:hAnsi="黑体" w:eastAsia="黑体" w:cs="黑体"/>
          <w:b w:val="0"/>
          <w:bCs w:val="0"/>
          <w:color w:val="auto"/>
          <w:sz w:val="32"/>
          <w:szCs w:val="32"/>
          <w:u w:val="none"/>
        </w:rPr>
      </w:pPr>
      <w:r>
        <w:rPr>
          <w:rFonts w:hint="eastAsia" w:ascii="黑体" w:hAnsi="黑体" w:eastAsia="黑体" w:cs="黑体"/>
          <w:b w:val="0"/>
          <w:bCs w:val="0"/>
          <w:color w:val="auto"/>
          <w:sz w:val="32"/>
          <w:szCs w:val="32"/>
          <w:u w:val="none"/>
        </w:rPr>
        <w:t>第一章  总则</w:t>
      </w:r>
    </w:p>
    <w:p>
      <w:pPr>
        <w:keepNext w:val="0"/>
        <w:keepLines w:val="0"/>
        <w:pageBreakBefore w:val="0"/>
        <w:widowControl/>
        <w:kinsoku/>
        <w:wordWrap/>
        <w:overflowPunct/>
        <w:topLinePunct w:val="0"/>
        <w:bidi w:val="0"/>
        <w:spacing w:line="560" w:lineRule="exact"/>
        <w:ind w:firstLine="635"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b/>
          <w:bCs/>
          <w:color w:val="auto"/>
          <w:sz w:val="32"/>
          <w:szCs w:val="32"/>
          <w:u w:val="none"/>
        </w:rPr>
        <w:t>第一条</w:t>
      </w:r>
      <w:r>
        <w:rPr>
          <w:rFonts w:hint="eastAsia" w:ascii="仿宋_GB2312" w:hAnsi="仿宋_GB2312" w:cs="仿宋_GB2312"/>
          <w:color w:val="auto"/>
          <w:sz w:val="32"/>
          <w:szCs w:val="32"/>
          <w:u w:val="none"/>
          <w:lang w:val="en-US" w:eastAsia="zh-CN"/>
        </w:rPr>
        <w:t xml:space="preserve"> </w:t>
      </w:r>
      <w:r>
        <w:rPr>
          <w:rFonts w:hint="eastAsia" w:ascii="仿宋_GB2312" w:hAnsi="仿宋_GB2312" w:eastAsia="仿宋_GB2312" w:cs="仿宋_GB2312"/>
          <w:color w:val="auto"/>
          <w:sz w:val="32"/>
          <w:szCs w:val="32"/>
          <w:u w:val="none"/>
        </w:rPr>
        <w:t>为增强办学活力，充分调动</w:t>
      </w:r>
      <w:r>
        <w:rPr>
          <w:rFonts w:hint="eastAsia" w:ascii="仿宋_GB2312" w:hAnsi="仿宋_GB2312" w:eastAsia="仿宋_GB2312" w:cs="仿宋_GB2312"/>
          <w:color w:val="auto"/>
          <w:sz w:val="32"/>
          <w:szCs w:val="32"/>
          <w:u w:val="none"/>
          <w:lang w:val="en-US" w:eastAsia="zh-CN"/>
        </w:rPr>
        <w:t>二级学院</w:t>
      </w:r>
      <w:r>
        <w:rPr>
          <w:rFonts w:hint="eastAsia" w:ascii="仿宋_GB2312" w:hAnsi="仿宋_GB2312" w:eastAsia="仿宋_GB2312" w:cs="仿宋_GB2312"/>
          <w:color w:val="auto"/>
          <w:sz w:val="32"/>
          <w:szCs w:val="32"/>
          <w:u w:val="none"/>
        </w:rPr>
        <w:t>办学积极性</w:t>
      </w:r>
      <w:r>
        <w:rPr>
          <w:rFonts w:hint="eastAsia" w:ascii="仿宋_GB2312" w:hAnsi="仿宋_GB2312" w:eastAsia="仿宋_GB2312" w:cs="仿宋_GB2312"/>
          <w:color w:val="auto"/>
          <w:sz w:val="32"/>
          <w:szCs w:val="32"/>
          <w:u w:val="none"/>
          <w:lang w:val="en-US" w:eastAsia="zh-CN"/>
        </w:rPr>
        <w:t>和创造性</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构建“统一领导、集中核算</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分级管理”的校院两级财务管理体制，特</w:t>
      </w:r>
      <w:r>
        <w:rPr>
          <w:rFonts w:hint="eastAsia" w:ascii="仿宋_GB2312" w:hAnsi="仿宋_GB2312" w:eastAsia="仿宋_GB2312" w:cs="仿宋_GB2312"/>
          <w:color w:val="auto"/>
          <w:sz w:val="32"/>
          <w:szCs w:val="32"/>
          <w:u w:val="none"/>
          <w:lang w:val="en-US" w:eastAsia="zh-CN"/>
        </w:rPr>
        <w:t>修</w:t>
      </w:r>
      <w:r>
        <w:rPr>
          <w:rFonts w:hint="eastAsia" w:ascii="仿宋_GB2312" w:hAnsi="仿宋_GB2312" w:eastAsia="仿宋_GB2312" w:cs="仿宋_GB2312"/>
          <w:color w:val="auto"/>
          <w:sz w:val="32"/>
          <w:szCs w:val="32"/>
          <w:u w:val="none"/>
        </w:rPr>
        <w:t>订本</w:t>
      </w:r>
      <w:r>
        <w:rPr>
          <w:rFonts w:hint="eastAsia" w:ascii="仿宋_GB2312" w:hAnsi="仿宋_GB2312" w:eastAsia="仿宋_GB2312" w:cs="仿宋_GB2312"/>
          <w:color w:val="auto"/>
          <w:sz w:val="32"/>
          <w:szCs w:val="32"/>
          <w:u w:val="none"/>
          <w:lang w:eastAsia="zh-CN"/>
        </w:rPr>
        <w:t>实施细则</w:t>
      </w:r>
      <w:r>
        <w:rPr>
          <w:rFonts w:hint="eastAsia" w:ascii="仿宋_GB2312" w:hAnsi="仿宋_GB2312" w:eastAsia="仿宋_GB2312" w:cs="仿宋_GB2312"/>
          <w:color w:val="auto"/>
          <w:sz w:val="32"/>
          <w:szCs w:val="32"/>
          <w:u w:val="none"/>
        </w:rPr>
        <w:t>。</w:t>
      </w:r>
    </w:p>
    <w:p>
      <w:pPr>
        <w:keepNext w:val="0"/>
        <w:keepLines w:val="0"/>
        <w:pageBreakBefore w:val="0"/>
        <w:widowControl/>
        <w:kinsoku/>
        <w:wordWrap/>
        <w:overflowPunct/>
        <w:topLinePunct w:val="0"/>
        <w:bidi w:val="0"/>
        <w:spacing w:line="560" w:lineRule="exact"/>
        <w:ind w:firstLine="635"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b/>
          <w:bCs/>
          <w:color w:val="auto"/>
          <w:sz w:val="32"/>
          <w:szCs w:val="32"/>
          <w:u w:val="none"/>
        </w:rPr>
        <w:t>第二条</w:t>
      </w:r>
      <w:r>
        <w:rPr>
          <w:rFonts w:hint="eastAsia" w:ascii="仿宋_GB2312" w:hAnsi="仿宋_GB2312" w:eastAsia="仿宋_GB2312" w:cs="仿宋_GB2312"/>
          <w:color w:val="auto"/>
          <w:sz w:val="32"/>
          <w:szCs w:val="32"/>
          <w:u w:val="none"/>
        </w:rPr>
        <w:t xml:space="preserve"> 基本原则</w:t>
      </w:r>
    </w:p>
    <w:p>
      <w:pPr>
        <w:keepNext w:val="0"/>
        <w:keepLines w:val="0"/>
        <w:pageBreakBefore w:val="0"/>
        <w:widowControl/>
        <w:kinsoku/>
        <w:wordWrap/>
        <w:overflowPunct/>
        <w:topLinePunct w:val="0"/>
        <w:bidi w:val="0"/>
        <w:spacing w:line="560" w:lineRule="exact"/>
        <w:ind w:firstLine="632" w:firstLineChars="200"/>
        <w:textAlignment w:val="auto"/>
        <w:rPr>
          <w:rFonts w:hint="eastAsia" w:ascii="仿宋_GB2312" w:hAnsi="仿宋_GB2312" w:eastAsia="仿宋_GB2312" w:cs="仿宋_GB2312"/>
          <w:color w:val="auto"/>
          <w:sz w:val="32"/>
          <w:szCs w:val="32"/>
          <w:u w:val="none"/>
        </w:rPr>
      </w:pPr>
      <w:r>
        <w:rPr>
          <w:rFonts w:hint="eastAsia" w:ascii="楷体_GB2312" w:hAnsi="楷体_GB2312" w:eastAsia="楷体_GB2312" w:cs="楷体_GB2312"/>
          <w:color w:val="auto"/>
          <w:sz w:val="32"/>
          <w:szCs w:val="32"/>
          <w:u w:val="none"/>
        </w:rPr>
        <w:t>（</w:t>
      </w:r>
      <w:r>
        <w:rPr>
          <w:rFonts w:hint="eastAsia" w:ascii="楷体_GB2312" w:hAnsi="楷体_GB2312" w:eastAsia="楷体_GB2312" w:cs="楷体_GB2312"/>
          <w:color w:val="auto"/>
          <w:sz w:val="32"/>
          <w:szCs w:val="32"/>
          <w:u w:val="none"/>
          <w:lang w:eastAsia="zh-CN"/>
        </w:rPr>
        <w:t>一</w:t>
      </w:r>
      <w:r>
        <w:rPr>
          <w:rFonts w:hint="eastAsia" w:ascii="楷体_GB2312" w:hAnsi="楷体_GB2312" w:eastAsia="楷体_GB2312" w:cs="楷体_GB2312"/>
          <w:color w:val="auto"/>
          <w:sz w:val="32"/>
          <w:szCs w:val="32"/>
          <w:u w:val="none"/>
        </w:rPr>
        <w:t>）依法依规，</w:t>
      </w:r>
      <w:r>
        <w:rPr>
          <w:rFonts w:hint="eastAsia" w:ascii="楷体_GB2312" w:hAnsi="楷体_GB2312" w:eastAsia="楷体_GB2312" w:cs="楷体_GB2312"/>
          <w:color w:val="auto"/>
          <w:sz w:val="32"/>
          <w:szCs w:val="32"/>
          <w:u w:val="none"/>
          <w:lang w:val="en-US" w:eastAsia="zh-CN"/>
        </w:rPr>
        <w:t>信息</w:t>
      </w:r>
      <w:r>
        <w:rPr>
          <w:rFonts w:hint="eastAsia" w:ascii="楷体_GB2312" w:hAnsi="楷体_GB2312" w:eastAsia="楷体_GB2312" w:cs="楷体_GB2312"/>
          <w:color w:val="auto"/>
          <w:sz w:val="32"/>
          <w:szCs w:val="32"/>
          <w:u w:val="none"/>
        </w:rPr>
        <w:t>公开。</w:t>
      </w:r>
      <w:r>
        <w:rPr>
          <w:rFonts w:hint="eastAsia" w:ascii="仿宋_GB2312" w:hAnsi="仿宋_GB2312" w:eastAsia="仿宋_GB2312" w:cs="仿宋_GB2312"/>
          <w:color w:val="auto"/>
          <w:sz w:val="32"/>
          <w:szCs w:val="32"/>
          <w:u w:val="none"/>
        </w:rPr>
        <w:t>校院两级均需按</w:t>
      </w:r>
      <w:r>
        <w:rPr>
          <w:rFonts w:hint="eastAsia" w:ascii="仿宋_GB2312" w:hAnsi="仿宋_GB2312" w:eastAsia="仿宋_GB2312" w:cs="仿宋_GB2312"/>
          <w:color w:val="auto"/>
          <w:sz w:val="32"/>
          <w:szCs w:val="32"/>
          <w:u w:val="none"/>
          <w:lang w:eastAsia="zh-CN"/>
        </w:rPr>
        <w:t>照</w:t>
      </w:r>
      <w:r>
        <w:rPr>
          <w:rFonts w:hint="eastAsia" w:ascii="仿宋_GB2312" w:hAnsi="仿宋_GB2312" w:eastAsia="仿宋_GB2312" w:cs="仿宋_GB2312"/>
          <w:color w:val="auto"/>
          <w:sz w:val="32"/>
          <w:szCs w:val="32"/>
          <w:u w:val="none"/>
        </w:rPr>
        <w:t>相关财经法规和</w:t>
      </w:r>
      <w:r>
        <w:rPr>
          <w:rFonts w:hint="eastAsia" w:ascii="仿宋_GB2312" w:hAnsi="仿宋_GB2312" w:eastAsia="仿宋_GB2312" w:cs="仿宋_GB2312"/>
          <w:color w:val="auto"/>
          <w:sz w:val="32"/>
          <w:szCs w:val="32"/>
          <w:u w:val="none"/>
          <w:lang w:eastAsia="zh-CN"/>
        </w:rPr>
        <w:t>财务会计</w:t>
      </w:r>
      <w:r>
        <w:rPr>
          <w:rFonts w:hint="eastAsia" w:ascii="仿宋_GB2312" w:hAnsi="仿宋_GB2312" w:eastAsia="仿宋_GB2312" w:cs="仿宋_GB2312"/>
          <w:color w:val="auto"/>
          <w:sz w:val="32"/>
          <w:szCs w:val="32"/>
          <w:u w:val="none"/>
        </w:rPr>
        <w:t>制度使用资金，对资金总体预算和执行情况、资助经费、三公经费以及人员经费使用等信息按规定进行公示，自觉接受监督。</w:t>
      </w:r>
    </w:p>
    <w:p>
      <w:pPr>
        <w:keepNext w:val="0"/>
        <w:keepLines w:val="0"/>
        <w:pageBreakBefore w:val="0"/>
        <w:widowControl/>
        <w:kinsoku/>
        <w:wordWrap/>
        <w:overflowPunct/>
        <w:topLinePunct w:val="0"/>
        <w:bidi w:val="0"/>
        <w:spacing w:line="560" w:lineRule="exact"/>
        <w:ind w:firstLine="632" w:firstLineChars="200"/>
        <w:textAlignment w:val="auto"/>
        <w:rPr>
          <w:rFonts w:hint="eastAsia" w:ascii="仿宋_GB2312" w:hAnsi="仿宋_GB2312" w:eastAsia="仿宋_GB2312" w:cs="仿宋_GB2312"/>
          <w:color w:val="auto"/>
          <w:sz w:val="32"/>
          <w:szCs w:val="32"/>
          <w:u w:val="none"/>
        </w:rPr>
      </w:pPr>
      <w:r>
        <w:rPr>
          <w:rFonts w:hint="eastAsia" w:ascii="楷体_GB2312" w:hAnsi="楷体_GB2312" w:eastAsia="楷体_GB2312" w:cs="楷体_GB2312"/>
          <w:color w:val="auto"/>
          <w:sz w:val="32"/>
          <w:szCs w:val="32"/>
          <w:u w:val="none"/>
        </w:rPr>
        <w:t>（</w:t>
      </w:r>
      <w:r>
        <w:rPr>
          <w:rFonts w:hint="eastAsia" w:ascii="楷体_GB2312" w:hAnsi="楷体_GB2312" w:eastAsia="楷体_GB2312" w:cs="楷体_GB2312"/>
          <w:color w:val="auto"/>
          <w:sz w:val="32"/>
          <w:szCs w:val="32"/>
          <w:u w:val="none"/>
          <w:lang w:eastAsia="zh-CN"/>
        </w:rPr>
        <w:t>二</w:t>
      </w:r>
      <w:r>
        <w:rPr>
          <w:rFonts w:hint="eastAsia" w:ascii="楷体_GB2312" w:hAnsi="楷体_GB2312" w:eastAsia="楷体_GB2312" w:cs="楷体_GB2312"/>
          <w:color w:val="auto"/>
          <w:sz w:val="32"/>
          <w:szCs w:val="32"/>
          <w:u w:val="none"/>
        </w:rPr>
        <w:t>）</w:t>
      </w:r>
      <w:r>
        <w:rPr>
          <w:rFonts w:hint="eastAsia" w:ascii="楷体_GB2312" w:hAnsi="楷体_GB2312" w:eastAsia="楷体_GB2312" w:cs="楷体_GB2312"/>
          <w:color w:val="auto"/>
          <w:sz w:val="32"/>
          <w:szCs w:val="32"/>
          <w:u w:val="none"/>
          <w:lang w:val="en-US" w:eastAsia="zh-CN"/>
        </w:rPr>
        <w:t>统一领导，集中核算。</w:t>
      </w:r>
      <w:r>
        <w:rPr>
          <w:rFonts w:hint="eastAsia" w:ascii="仿宋_GB2312" w:hAnsi="仿宋_GB2312" w:eastAsia="仿宋_GB2312" w:cs="仿宋_GB2312"/>
          <w:color w:val="auto"/>
          <w:sz w:val="32"/>
          <w:szCs w:val="32"/>
          <w:u w:val="none"/>
          <w:lang w:val="en-US" w:eastAsia="zh-CN"/>
        </w:rPr>
        <w:t>由学校统一领导全校的财务管理工作，统一财务规章制度，</w:t>
      </w:r>
      <w:r>
        <w:rPr>
          <w:rFonts w:hint="eastAsia" w:ascii="仿宋_GB2312" w:hAnsi="仿宋_GB2312" w:eastAsia="仿宋_GB2312" w:cs="仿宋_GB2312"/>
          <w:color w:val="auto"/>
          <w:sz w:val="32"/>
          <w:szCs w:val="32"/>
          <w:u w:val="none"/>
        </w:rPr>
        <w:t>统一银行结算</w:t>
      </w:r>
      <w:r>
        <w:rPr>
          <w:rFonts w:hint="eastAsia" w:ascii="仿宋_GB2312" w:hAnsi="仿宋_GB2312" w:eastAsia="仿宋_GB2312" w:cs="仿宋_GB2312"/>
          <w:color w:val="auto"/>
          <w:sz w:val="32"/>
          <w:szCs w:val="32"/>
          <w:u w:val="none"/>
          <w:lang w:val="en-US" w:eastAsia="zh-CN"/>
        </w:rPr>
        <w:t>和资金收支</w:t>
      </w:r>
      <w:r>
        <w:rPr>
          <w:rFonts w:hint="eastAsia" w:ascii="仿宋_GB2312" w:hAnsi="仿宋_GB2312" w:eastAsia="仿宋_GB2312" w:cs="仿宋_GB2312"/>
          <w:color w:val="auto"/>
          <w:sz w:val="32"/>
          <w:szCs w:val="32"/>
          <w:u w:val="none"/>
        </w:rPr>
        <w:t>，集中会计核算。</w:t>
      </w:r>
    </w:p>
    <w:p>
      <w:pPr>
        <w:keepNext w:val="0"/>
        <w:keepLines w:val="0"/>
        <w:pageBreakBefore w:val="0"/>
        <w:widowControl/>
        <w:kinsoku/>
        <w:wordWrap/>
        <w:overflowPunct/>
        <w:topLinePunct w:val="0"/>
        <w:bidi w:val="0"/>
        <w:spacing w:line="560" w:lineRule="exact"/>
        <w:ind w:firstLine="632"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w:t>
      </w:r>
      <w:r>
        <w:rPr>
          <w:rFonts w:hint="eastAsia" w:ascii="楷体_GB2312" w:hAnsi="楷体_GB2312" w:eastAsia="楷体_GB2312" w:cs="楷体_GB2312"/>
          <w:color w:val="auto"/>
          <w:sz w:val="32"/>
          <w:szCs w:val="32"/>
          <w:u w:val="none"/>
          <w:lang w:eastAsia="zh-CN"/>
        </w:rPr>
        <w:t>三</w:t>
      </w:r>
      <w:r>
        <w:rPr>
          <w:rFonts w:hint="eastAsia" w:ascii="楷体_GB2312" w:hAnsi="楷体_GB2312" w:eastAsia="楷体_GB2312" w:cs="楷体_GB2312"/>
          <w:color w:val="auto"/>
          <w:sz w:val="32"/>
          <w:szCs w:val="32"/>
          <w:u w:val="none"/>
        </w:rPr>
        <w:t>）</w:t>
      </w:r>
      <w:r>
        <w:rPr>
          <w:rFonts w:hint="eastAsia" w:ascii="楷体_GB2312" w:hAnsi="楷体_GB2312" w:eastAsia="楷体_GB2312" w:cs="楷体_GB2312"/>
          <w:color w:val="auto"/>
          <w:sz w:val="32"/>
          <w:szCs w:val="32"/>
          <w:u w:val="none"/>
          <w:lang w:val="en-US" w:eastAsia="zh-CN"/>
        </w:rPr>
        <w:t>统一调配，分类下达</w:t>
      </w:r>
      <w:r>
        <w:rPr>
          <w:rFonts w:hint="eastAsia" w:ascii="楷体_GB2312" w:hAnsi="楷体_GB2312" w:eastAsia="楷体_GB2312" w:cs="楷体_GB2312"/>
          <w:color w:val="auto"/>
          <w:sz w:val="32"/>
          <w:szCs w:val="32"/>
          <w:u w:val="none"/>
        </w:rPr>
        <w:t>。</w:t>
      </w:r>
      <w:r>
        <w:rPr>
          <w:rFonts w:hint="eastAsia" w:ascii="仿宋_GB2312" w:hAnsi="仿宋_GB2312" w:eastAsia="仿宋_GB2312" w:cs="仿宋_GB2312"/>
          <w:color w:val="auto"/>
          <w:sz w:val="32"/>
          <w:szCs w:val="32"/>
          <w:u w:val="none"/>
        </w:rPr>
        <w:t>按照责、权、利相统一的原则，在确保学校稳定和健康发展的前提下，将与</w:t>
      </w:r>
      <w:r>
        <w:rPr>
          <w:rFonts w:hint="eastAsia" w:ascii="仿宋_GB2312" w:hAnsi="仿宋_GB2312" w:eastAsia="仿宋_GB2312" w:cs="仿宋_GB2312"/>
          <w:color w:val="auto"/>
          <w:sz w:val="32"/>
          <w:szCs w:val="32"/>
          <w:u w:val="none"/>
          <w:lang w:eastAsia="zh-CN"/>
        </w:rPr>
        <w:t>二级学院</w:t>
      </w:r>
      <w:r>
        <w:rPr>
          <w:rFonts w:hint="eastAsia" w:ascii="仿宋_GB2312" w:hAnsi="仿宋_GB2312" w:eastAsia="仿宋_GB2312" w:cs="仿宋_GB2312"/>
          <w:color w:val="auto"/>
          <w:sz w:val="32"/>
          <w:szCs w:val="32"/>
          <w:u w:val="none"/>
        </w:rPr>
        <w:t>承担事权相对应的财权</w:t>
      </w:r>
      <w:r>
        <w:rPr>
          <w:rFonts w:hint="eastAsia" w:ascii="仿宋_GB2312" w:hAnsi="仿宋_GB2312" w:eastAsia="仿宋_GB2312" w:cs="仿宋_GB2312"/>
          <w:color w:val="auto"/>
          <w:sz w:val="32"/>
          <w:szCs w:val="32"/>
          <w:u w:val="none"/>
          <w:lang w:val="en-US" w:eastAsia="zh-CN"/>
        </w:rPr>
        <w:t>由学校以</w:t>
      </w:r>
      <w:r>
        <w:rPr>
          <w:rFonts w:hint="eastAsia" w:ascii="仿宋_GB2312" w:hAnsi="仿宋_GB2312" w:eastAsia="仿宋_GB2312" w:cs="仿宋_GB2312"/>
          <w:color w:val="auto"/>
          <w:sz w:val="32"/>
          <w:szCs w:val="32"/>
          <w:u w:val="none"/>
        </w:rPr>
        <w:t>下放到</w:t>
      </w:r>
      <w:r>
        <w:rPr>
          <w:rFonts w:hint="eastAsia" w:ascii="仿宋_GB2312" w:hAnsi="仿宋_GB2312" w:eastAsia="仿宋_GB2312" w:cs="仿宋_GB2312"/>
          <w:color w:val="auto"/>
          <w:sz w:val="32"/>
          <w:szCs w:val="32"/>
          <w:u w:val="none"/>
          <w:lang w:eastAsia="zh-CN"/>
        </w:rPr>
        <w:t>二级学院</w:t>
      </w:r>
      <w:r>
        <w:rPr>
          <w:rFonts w:hint="eastAsia" w:ascii="仿宋_GB2312" w:hAnsi="仿宋_GB2312" w:eastAsia="仿宋_GB2312" w:cs="仿宋_GB2312"/>
          <w:color w:val="auto"/>
          <w:sz w:val="32"/>
          <w:szCs w:val="32"/>
          <w:u w:val="none"/>
        </w:rPr>
        <w:t>。</w:t>
      </w:r>
    </w:p>
    <w:p>
      <w:pPr>
        <w:keepNext w:val="0"/>
        <w:keepLines w:val="0"/>
        <w:pageBreakBefore w:val="0"/>
        <w:widowControl/>
        <w:kinsoku/>
        <w:wordWrap/>
        <w:overflowPunct/>
        <w:topLinePunct w:val="0"/>
        <w:bidi w:val="0"/>
        <w:spacing w:line="560" w:lineRule="exact"/>
        <w:ind w:firstLine="632" w:firstLineChars="200"/>
        <w:textAlignment w:val="auto"/>
        <w:rPr>
          <w:rFonts w:hint="eastAsia" w:ascii="仿宋_GB2312" w:hAnsi="仿宋_GB2312" w:eastAsia="仿宋_GB2312" w:cs="仿宋_GB2312"/>
          <w:color w:val="auto"/>
          <w:sz w:val="32"/>
          <w:szCs w:val="32"/>
          <w:u w:val="none"/>
          <w:lang w:val="en-US" w:eastAsia="zh-CN"/>
        </w:rPr>
      </w:pPr>
      <w:r>
        <w:rPr>
          <w:rFonts w:hint="eastAsia" w:ascii="楷体_GB2312" w:hAnsi="楷体_GB2312" w:eastAsia="楷体_GB2312" w:cs="楷体_GB2312"/>
          <w:color w:val="auto"/>
          <w:sz w:val="32"/>
          <w:szCs w:val="32"/>
          <w:u w:val="none"/>
        </w:rPr>
        <w:t>（四）</w:t>
      </w:r>
      <w:r>
        <w:rPr>
          <w:rFonts w:hint="eastAsia" w:ascii="楷体_GB2312" w:hAnsi="楷体_GB2312" w:eastAsia="楷体_GB2312" w:cs="楷体_GB2312"/>
          <w:color w:val="auto"/>
          <w:sz w:val="32"/>
          <w:szCs w:val="32"/>
          <w:u w:val="none"/>
          <w:lang w:val="en-US" w:eastAsia="zh-CN"/>
        </w:rPr>
        <w:t>两</w:t>
      </w:r>
      <w:r>
        <w:rPr>
          <w:rFonts w:hint="eastAsia" w:ascii="楷体_GB2312" w:hAnsi="楷体_GB2312" w:eastAsia="楷体_GB2312" w:cs="楷体_GB2312"/>
          <w:color w:val="auto"/>
          <w:sz w:val="32"/>
          <w:szCs w:val="32"/>
          <w:u w:val="none"/>
        </w:rPr>
        <w:t>级预算，分级管理。</w:t>
      </w:r>
      <w:r>
        <w:rPr>
          <w:rFonts w:hint="eastAsia" w:ascii="仿宋_GB2312" w:hAnsi="仿宋_GB2312" w:eastAsia="仿宋_GB2312" w:cs="仿宋_GB2312"/>
          <w:color w:val="auto"/>
          <w:sz w:val="32"/>
          <w:szCs w:val="32"/>
          <w:u w:val="none"/>
        </w:rPr>
        <w:t>实行学校与</w:t>
      </w:r>
      <w:r>
        <w:rPr>
          <w:rFonts w:hint="eastAsia" w:ascii="仿宋_GB2312" w:hAnsi="仿宋_GB2312" w:eastAsia="仿宋_GB2312" w:cs="仿宋_GB2312"/>
          <w:color w:val="auto"/>
          <w:sz w:val="32"/>
          <w:szCs w:val="32"/>
          <w:u w:val="none"/>
          <w:lang w:eastAsia="zh-CN"/>
        </w:rPr>
        <w:t>二级学院</w:t>
      </w:r>
      <w:r>
        <w:rPr>
          <w:rFonts w:hint="eastAsia" w:ascii="仿宋_GB2312" w:hAnsi="仿宋_GB2312" w:eastAsia="仿宋_GB2312" w:cs="仿宋_GB2312"/>
          <w:color w:val="auto"/>
          <w:sz w:val="32"/>
          <w:szCs w:val="32"/>
          <w:u w:val="none"/>
        </w:rPr>
        <w:t>两级预算管理体系，一级预算由学校计划财务处负责编制，二级预算由</w:t>
      </w:r>
      <w:r>
        <w:rPr>
          <w:rFonts w:hint="eastAsia" w:ascii="仿宋_GB2312" w:hAnsi="仿宋_GB2312" w:eastAsia="仿宋_GB2312" w:cs="仿宋_GB2312"/>
          <w:color w:val="auto"/>
          <w:sz w:val="32"/>
          <w:szCs w:val="32"/>
          <w:u w:val="none"/>
          <w:lang w:eastAsia="zh-CN"/>
        </w:rPr>
        <w:t>二级学院</w:t>
      </w:r>
      <w:r>
        <w:rPr>
          <w:rFonts w:hint="eastAsia" w:ascii="仿宋_GB2312" w:hAnsi="仿宋_GB2312" w:eastAsia="仿宋_GB2312" w:cs="仿宋_GB2312"/>
          <w:color w:val="auto"/>
          <w:sz w:val="32"/>
          <w:szCs w:val="32"/>
          <w:u w:val="none"/>
        </w:rPr>
        <w:t>根据自身事业发展和工作目标，在学校下达的预算控制数内自主编制。</w:t>
      </w:r>
      <w:r>
        <w:rPr>
          <w:rFonts w:hint="eastAsia" w:ascii="仿宋_GB2312" w:hAnsi="仿宋_GB2312" w:eastAsia="仿宋_GB2312" w:cs="仿宋_GB2312"/>
          <w:color w:val="auto"/>
          <w:sz w:val="32"/>
          <w:szCs w:val="32"/>
          <w:u w:val="none"/>
          <w:lang w:val="en-US" w:eastAsia="zh-CN"/>
        </w:rPr>
        <w:t>二级学院有权在批准的预算资金范围内按规定程序自主安排和使用资金，并对经费使用效果负责。</w:t>
      </w:r>
    </w:p>
    <w:p>
      <w:pPr>
        <w:pStyle w:val="2"/>
        <w:keepNext w:val="0"/>
        <w:keepLines w:val="0"/>
        <w:pageBreakBefore w:val="0"/>
        <w:kinsoku/>
        <w:wordWrap/>
        <w:overflowPunct/>
        <w:topLinePunct w:val="0"/>
        <w:bidi w:val="0"/>
        <w:spacing w:line="560" w:lineRule="exact"/>
        <w:textAlignment w:val="auto"/>
        <w:rPr>
          <w:rFonts w:hint="default"/>
          <w:lang w:val="en-US"/>
        </w:rPr>
      </w:pPr>
      <w:r>
        <w:rPr>
          <w:rFonts w:hint="eastAsia" w:ascii="仿宋_GB2312" w:hAnsi="仿宋_GB2312" w:cs="仿宋_GB2312"/>
          <w:color w:val="auto"/>
          <w:sz w:val="32"/>
          <w:szCs w:val="32"/>
          <w:u w:val="none"/>
          <w:lang w:val="en-US" w:eastAsia="zh-CN"/>
        </w:rPr>
        <w:t xml:space="preserve">    </w:t>
      </w:r>
      <w:r>
        <w:rPr>
          <w:rFonts w:hint="eastAsia" w:ascii="楷体_GB2312" w:hAnsi="楷体_GB2312" w:eastAsia="楷体_GB2312" w:cs="楷体_GB2312"/>
          <w:color w:val="auto"/>
          <w:sz w:val="32"/>
          <w:szCs w:val="32"/>
          <w:u w:val="none"/>
        </w:rPr>
        <w:t>（</w:t>
      </w:r>
      <w:r>
        <w:rPr>
          <w:rFonts w:hint="eastAsia" w:ascii="楷体_GB2312" w:hAnsi="楷体_GB2312" w:eastAsia="楷体_GB2312" w:cs="楷体_GB2312"/>
          <w:color w:val="auto"/>
          <w:sz w:val="32"/>
          <w:szCs w:val="32"/>
          <w:u w:val="none"/>
          <w:lang w:eastAsia="zh-CN"/>
        </w:rPr>
        <w:t>五</w:t>
      </w:r>
      <w:r>
        <w:rPr>
          <w:rFonts w:hint="eastAsia" w:ascii="楷体_GB2312" w:hAnsi="楷体_GB2312" w:eastAsia="楷体_GB2312" w:cs="楷体_GB2312"/>
          <w:color w:val="auto"/>
          <w:sz w:val="32"/>
          <w:szCs w:val="32"/>
          <w:u w:val="none"/>
        </w:rPr>
        <w:t>）分步实施，</w:t>
      </w:r>
      <w:r>
        <w:rPr>
          <w:rFonts w:hint="eastAsia" w:ascii="楷体_GB2312" w:hAnsi="楷体_GB2312" w:eastAsia="楷体_GB2312" w:cs="楷体_GB2312"/>
          <w:color w:val="auto"/>
          <w:sz w:val="32"/>
          <w:szCs w:val="32"/>
          <w:u w:val="none"/>
          <w:lang w:eastAsia="zh-CN"/>
        </w:rPr>
        <w:t>稳步</w:t>
      </w:r>
      <w:r>
        <w:rPr>
          <w:rFonts w:hint="eastAsia" w:ascii="楷体_GB2312" w:hAnsi="楷体_GB2312" w:eastAsia="楷体_GB2312" w:cs="楷体_GB2312"/>
          <w:color w:val="auto"/>
          <w:sz w:val="32"/>
          <w:szCs w:val="32"/>
          <w:u w:val="none"/>
        </w:rPr>
        <w:t>推进。</w:t>
      </w:r>
      <w:r>
        <w:rPr>
          <w:rFonts w:hint="eastAsia" w:ascii="仿宋_GB2312" w:hAnsi="仿宋_GB2312" w:eastAsia="仿宋_GB2312" w:cs="仿宋_GB2312"/>
          <w:color w:val="auto"/>
          <w:sz w:val="32"/>
          <w:szCs w:val="32"/>
          <w:u w:val="none"/>
        </w:rPr>
        <w:t>为了积极稳妥地推进校院两级</w:t>
      </w:r>
    </w:p>
    <w:p>
      <w:pPr>
        <w:keepNext w:val="0"/>
        <w:keepLines w:val="0"/>
        <w:pageBreakBefore w:val="0"/>
        <w:widowControl/>
        <w:kinsoku/>
        <w:wordWrap/>
        <w:overflowPunct/>
        <w:topLinePunct w:val="0"/>
        <w:bidi w:val="0"/>
        <w:spacing w:line="560" w:lineRule="exact"/>
        <w:textAlignment w:val="auto"/>
        <w:rPr>
          <w:rFonts w:hint="eastAsia" w:ascii="仿宋_GB2312" w:hAnsi="仿宋_GB2312" w:eastAsia="仿宋_GB2312" w:cs="仿宋_GB2312"/>
          <w:b/>
          <w:bCs/>
          <w:color w:val="auto"/>
          <w:sz w:val="32"/>
          <w:szCs w:val="32"/>
          <w:highlight w:val="none"/>
          <w:u w:val="none"/>
          <w:lang w:val="en-US" w:eastAsia="zh-CN"/>
        </w:rPr>
      </w:pPr>
      <w:r>
        <w:rPr>
          <w:rFonts w:hint="eastAsia" w:ascii="仿宋_GB2312" w:hAnsi="仿宋_GB2312" w:eastAsia="仿宋_GB2312" w:cs="仿宋_GB2312"/>
          <w:color w:val="auto"/>
          <w:sz w:val="32"/>
          <w:szCs w:val="32"/>
          <w:u w:val="none"/>
        </w:rPr>
        <w:t>财务管理，</w:t>
      </w:r>
      <w:r>
        <w:rPr>
          <w:rFonts w:hint="eastAsia" w:ascii="仿宋_GB2312" w:hAnsi="仿宋_GB2312" w:eastAsia="仿宋_GB2312" w:cs="仿宋_GB2312"/>
          <w:color w:val="auto"/>
          <w:sz w:val="32"/>
          <w:szCs w:val="32"/>
          <w:u w:val="none"/>
          <w:lang w:eastAsia="zh-CN"/>
        </w:rPr>
        <w:t>二级学院</w:t>
      </w:r>
      <w:r>
        <w:rPr>
          <w:rFonts w:hint="eastAsia" w:ascii="仿宋_GB2312" w:hAnsi="仿宋_GB2312" w:eastAsia="仿宋_GB2312" w:cs="仿宋_GB2312"/>
          <w:color w:val="auto"/>
          <w:sz w:val="32"/>
          <w:szCs w:val="32"/>
          <w:u w:val="none"/>
          <w:lang w:val="en-US" w:eastAsia="zh-CN"/>
        </w:rPr>
        <w:t>基本工资（岗位工资、薪级工资）、基础绩效、基础绩效奖金（三奖合一</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和其他津贴补贴，暂由学校统一发放，</w:t>
      </w:r>
      <w:r>
        <w:rPr>
          <w:rFonts w:hint="eastAsia" w:ascii="仿宋_GB2312" w:hAnsi="仿宋_GB2312" w:eastAsia="仿宋_GB2312" w:cs="仿宋_GB2312"/>
          <w:color w:val="auto"/>
          <w:sz w:val="32"/>
          <w:szCs w:val="32"/>
          <w:u w:val="none"/>
        </w:rPr>
        <w:t>其余经费</w:t>
      </w:r>
      <w:r>
        <w:rPr>
          <w:rFonts w:hint="eastAsia" w:ascii="仿宋_GB2312" w:hAnsi="仿宋_GB2312" w:eastAsia="仿宋_GB2312" w:cs="仿宋_GB2312"/>
          <w:color w:val="auto"/>
          <w:sz w:val="32"/>
          <w:szCs w:val="32"/>
          <w:u w:val="none"/>
          <w:lang w:val="en-US" w:eastAsia="zh-CN"/>
        </w:rPr>
        <w:t>由学校打包给二级学院，分别纳入相关职能部门和二级学院预算</w:t>
      </w:r>
      <w:r>
        <w:rPr>
          <w:rFonts w:hint="eastAsia" w:ascii="仿宋_GB2312" w:hAnsi="仿宋_GB2312" w:eastAsia="仿宋_GB2312" w:cs="仿宋_GB2312"/>
          <w:color w:val="auto"/>
          <w:sz w:val="32"/>
          <w:szCs w:val="32"/>
          <w:u w:val="none"/>
        </w:rPr>
        <w:t>。</w:t>
      </w:r>
    </w:p>
    <w:p>
      <w:pPr>
        <w:keepNext w:val="0"/>
        <w:keepLines w:val="0"/>
        <w:pageBreakBefore w:val="0"/>
        <w:widowControl/>
        <w:kinsoku/>
        <w:wordWrap/>
        <w:overflowPunct/>
        <w:topLinePunct w:val="0"/>
        <w:autoSpaceDE/>
        <w:autoSpaceDN/>
        <w:bidi w:val="0"/>
        <w:adjustRightInd/>
        <w:snapToGrid/>
        <w:spacing w:before="157" w:beforeLines="50" w:after="157" w:afterLines="50" w:line="560" w:lineRule="exact"/>
        <w:jc w:val="center"/>
        <w:textAlignment w:val="auto"/>
        <w:rPr>
          <w:rFonts w:hint="eastAsia" w:ascii="黑体" w:hAnsi="黑体" w:eastAsia="黑体" w:cs="黑体"/>
          <w:b w:val="0"/>
          <w:bCs w:val="0"/>
          <w:color w:val="auto"/>
          <w:sz w:val="32"/>
          <w:szCs w:val="32"/>
          <w:u w:val="none"/>
        </w:rPr>
      </w:pPr>
      <w:r>
        <w:rPr>
          <w:rFonts w:hint="eastAsia" w:ascii="黑体" w:hAnsi="黑体" w:eastAsia="黑体" w:cs="黑体"/>
          <w:b w:val="0"/>
          <w:bCs w:val="0"/>
          <w:color w:val="auto"/>
          <w:sz w:val="32"/>
          <w:szCs w:val="32"/>
          <w:u w:val="none"/>
        </w:rPr>
        <w:t>第二章</w:t>
      </w:r>
      <w:r>
        <w:rPr>
          <w:rFonts w:hint="eastAsia" w:ascii="黑体" w:hAnsi="黑体" w:eastAsia="黑体" w:cs="黑体"/>
          <w:b w:val="0"/>
          <w:bCs w:val="0"/>
          <w:color w:val="auto"/>
          <w:sz w:val="32"/>
          <w:szCs w:val="32"/>
          <w:u w:val="none"/>
          <w:lang w:val="en-US" w:eastAsia="zh-CN"/>
        </w:rPr>
        <w:t xml:space="preserve">  </w:t>
      </w:r>
      <w:r>
        <w:rPr>
          <w:rFonts w:hint="eastAsia" w:ascii="黑体" w:hAnsi="黑体" w:eastAsia="黑体" w:cs="黑体"/>
          <w:b w:val="0"/>
          <w:bCs w:val="0"/>
          <w:color w:val="auto"/>
          <w:sz w:val="32"/>
          <w:szCs w:val="32"/>
          <w:u w:val="none"/>
        </w:rPr>
        <w:t>校院两级财务管理职责</w:t>
      </w:r>
    </w:p>
    <w:p>
      <w:pPr>
        <w:keepNext w:val="0"/>
        <w:keepLines w:val="0"/>
        <w:pageBreakBefore w:val="0"/>
        <w:widowControl/>
        <w:kinsoku/>
        <w:wordWrap/>
        <w:overflowPunct/>
        <w:topLinePunct w:val="0"/>
        <w:bidi w:val="0"/>
        <w:spacing w:line="560" w:lineRule="exact"/>
        <w:ind w:firstLine="635"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b/>
          <w:bCs/>
          <w:color w:val="auto"/>
          <w:sz w:val="32"/>
          <w:szCs w:val="32"/>
          <w:u w:val="none"/>
        </w:rPr>
        <w:t>第</w:t>
      </w:r>
      <w:r>
        <w:rPr>
          <w:rFonts w:hint="eastAsia" w:ascii="仿宋_GB2312" w:hAnsi="仿宋_GB2312" w:eastAsia="仿宋_GB2312" w:cs="仿宋_GB2312"/>
          <w:b/>
          <w:bCs/>
          <w:color w:val="auto"/>
          <w:sz w:val="32"/>
          <w:szCs w:val="32"/>
          <w:u w:val="none"/>
          <w:lang w:val="en-US" w:eastAsia="zh-CN"/>
        </w:rPr>
        <w:t>三</w:t>
      </w:r>
      <w:r>
        <w:rPr>
          <w:rFonts w:hint="eastAsia" w:ascii="仿宋_GB2312" w:hAnsi="仿宋_GB2312" w:eastAsia="仿宋_GB2312" w:cs="仿宋_GB2312"/>
          <w:b/>
          <w:bCs/>
          <w:color w:val="auto"/>
          <w:sz w:val="32"/>
          <w:szCs w:val="32"/>
          <w:u w:val="none"/>
        </w:rPr>
        <w:t>条</w:t>
      </w:r>
      <w:r>
        <w:rPr>
          <w:rFonts w:hint="eastAsia" w:ascii="仿宋_GB2312" w:hAnsi="仿宋_GB2312" w:cs="仿宋_GB2312"/>
          <w:color w:val="auto"/>
          <w:sz w:val="32"/>
          <w:szCs w:val="32"/>
          <w:u w:val="none"/>
          <w:lang w:val="en-US" w:eastAsia="zh-CN"/>
        </w:rPr>
        <w:t xml:space="preserve"> </w:t>
      </w:r>
      <w:r>
        <w:rPr>
          <w:rFonts w:hint="eastAsia" w:ascii="仿宋_GB2312" w:hAnsi="仿宋_GB2312" w:eastAsia="仿宋_GB2312" w:cs="仿宋_GB2312"/>
          <w:color w:val="auto"/>
          <w:sz w:val="32"/>
          <w:szCs w:val="32"/>
          <w:u w:val="none"/>
          <w:lang w:eastAsia="zh-CN"/>
        </w:rPr>
        <w:t>学校</w:t>
      </w:r>
      <w:r>
        <w:rPr>
          <w:rFonts w:hint="eastAsia" w:ascii="仿宋_GB2312" w:hAnsi="仿宋_GB2312" w:eastAsia="仿宋_GB2312" w:cs="仿宋_GB2312"/>
          <w:color w:val="auto"/>
          <w:sz w:val="32"/>
          <w:szCs w:val="32"/>
          <w:u w:val="none"/>
        </w:rPr>
        <w:t>职责</w:t>
      </w:r>
    </w:p>
    <w:p>
      <w:pPr>
        <w:keepNext w:val="0"/>
        <w:keepLines w:val="0"/>
        <w:pageBreakBefore w:val="0"/>
        <w:widowControl/>
        <w:kinsoku/>
        <w:wordWrap/>
        <w:overflowPunct/>
        <w:topLinePunct w:val="0"/>
        <w:bidi w:val="0"/>
        <w:spacing w:line="560" w:lineRule="exact"/>
        <w:ind w:firstLine="632"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eastAsia="zh-CN"/>
        </w:rPr>
        <w:t>一</w:t>
      </w:r>
      <w:r>
        <w:rPr>
          <w:rFonts w:hint="eastAsia" w:ascii="仿宋_GB2312" w:hAnsi="仿宋_GB2312" w:eastAsia="仿宋_GB2312" w:cs="仿宋_GB2312"/>
          <w:color w:val="auto"/>
          <w:sz w:val="32"/>
          <w:szCs w:val="32"/>
          <w:u w:val="none"/>
        </w:rPr>
        <w:t>）宣传并执行国家财经法规，制订学校财务管理制度。</w:t>
      </w:r>
    </w:p>
    <w:p>
      <w:pPr>
        <w:keepNext w:val="0"/>
        <w:keepLines w:val="0"/>
        <w:pageBreakBefore w:val="0"/>
        <w:widowControl/>
        <w:kinsoku/>
        <w:wordWrap/>
        <w:overflowPunct/>
        <w:topLinePunct w:val="0"/>
        <w:bidi w:val="0"/>
        <w:spacing w:line="560" w:lineRule="exact"/>
        <w:ind w:firstLine="632"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eastAsia="zh-CN"/>
        </w:rPr>
        <w:t>二</w:t>
      </w:r>
      <w:r>
        <w:rPr>
          <w:rFonts w:hint="eastAsia" w:ascii="仿宋_GB2312" w:hAnsi="仿宋_GB2312" w:eastAsia="仿宋_GB2312" w:cs="仿宋_GB2312"/>
          <w:color w:val="auto"/>
          <w:sz w:val="32"/>
          <w:szCs w:val="32"/>
          <w:u w:val="none"/>
        </w:rPr>
        <w:t>）统筹安排学校资金，科学编制学校年度财务预算并严格执行。</w:t>
      </w:r>
    </w:p>
    <w:p>
      <w:pPr>
        <w:keepNext w:val="0"/>
        <w:keepLines w:val="0"/>
        <w:pageBreakBefore w:val="0"/>
        <w:widowControl/>
        <w:kinsoku/>
        <w:wordWrap/>
        <w:overflowPunct/>
        <w:topLinePunct w:val="0"/>
        <w:bidi w:val="0"/>
        <w:spacing w:line="560" w:lineRule="exact"/>
        <w:ind w:firstLine="632"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eastAsia="zh-CN"/>
        </w:rPr>
        <w:t>三</w:t>
      </w:r>
      <w:r>
        <w:rPr>
          <w:rFonts w:hint="eastAsia" w:ascii="仿宋_GB2312" w:hAnsi="仿宋_GB2312" w:eastAsia="仿宋_GB2312" w:cs="仿宋_GB2312"/>
          <w:color w:val="auto"/>
          <w:sz w:val="32"/>
          <w:szCs w:val="32"/>
          <w:u w:val="none"/>
        </w:rPr>
        <w:t>）统一进行会计核算，对学校资金实行有效调控。</w:t>
      </w:r>
    </w:p>
    <w:p>
      <w:pPr>
        <w:keepNext w:val="0"/>
        <w:keepLines w:val="0"/>
        <w:pageBreakBefore w:val="0"/>
        <w:widowControl/>
        <w:kinsoku/>
        <w:wordWrap/>
        <w:overflowPunct/>
        <w:topLinePunct w:val="0"/>
        <w:bidi w:val="0"/>
        <w:spacing w:line="560" w:lineRule="exact"/>
        <w:ind w:firstLine="632"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eastAsia="zh-CN"/>
        </w:rPr>
        <w:t>四</w:t>
      </w:r>
      <w:r>
        <w:rPr>
          <w:rFonts w:hint="eastAsia" w:ascii="仿宋_GB2312" w:hAnsi="仿宋_GB2312" w:eastAsia="仿宋_GB2312" w:cs="仿宋_GB2312"/>
          <w:color w:val="auto"/>
          <w:sz w:val="32"/>
          <w:szCs w:val="32"/>
          <w:u w:val="none"/>
        </w:rPr>
        <w:t>）指导和监督</w:t>
      </w:r>
      <w:r>
        <w:rPr>
          <w:rFonts w:hint="eastAsia" w:ascii="仿宋_GB2312" w:hAnsi="仿宋_GB2312" w:eastAsia="仿宋_GB2312" w:cs="仿宋_GB2312"/>
          <w:color w:val="auto"/>
          <w:sz w:val="32"/>
          <w:szCs w:val="32"/>
          <w:u w:val="none"/>
          <w:lang w:eastAsia="zh-CN"/>
        </w:rPr>
        <w:t>二级学院</w:t>
      </w:r>
      <w:bookmarkStart w:id="0" w:name="_GoBack"/>
      <w:bookmarkEnd w:id="0"/>
      <w:r>
        <w:rPr>
          <w:rFonts w:hint="eastAsia" w:ascii="仿宋_GB2312" w:hAnsi="仿宋_GB2312" w:eastAsia="仿宋_GB2312" w:cs="仿宋_GB2312"/>
          <w:color w:val="auto"/>
          <w:sz w:val="32"/>
          <w:szCs w:val="32"/>
          <w:u w:val="none"/>
          <w:lang w:val="en-US" w:eastAsia="zh-CN"/>
        </w:rPr>
        <w:t>预算编制</w:t>
      </w:r>
      <w:r>
        <w:rPr>
          <w:rFonts w:hint="eastAsia" w:ascii="仿宋_GB2312" w:hAnsi="仿宋_GB2312" w:eastAsia="仿宋_GB2312" w:cs="仿宋_GB2312"/>
          <w:color w:val="auto"/>
          <w:sz w:val="32"/>
          <w:szCs w:val="32"/>
          <w:u w:val="none"/>
        </w:rPr>
        <w:t>和预算执行情况，定期进行</w:t>
      </w:r>
      <w:r>
        <w:rPr>
          <w:rFonts w:hint="eastAsia" w:ascii="仿宋_GB2312" w:hAnsi="仿宋_GB2312" w:eastAsia="仿宋_GB2312" w:cs="仿宋_GB2312"/>
          <w:color w:val="auto"/>
          <w:sz w:val="32"/>
          <w:szCs w:val="32"/>
          <w:u w:val="none"/>
          <w:lang w:val="en-US" w:eastAsia="zh-CN"/>
        </w:rPr>
        <w:t>绩效评价</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考核</w:t>
      </w:r>
      <w:r>
        <w:rPr>
          <w:rFonts w:hint="eastAsia" w:ascii="仿宋_GB2312" w:hAnsi="仿宋_GB2312" w:eastAsia="仿宋_GB2312" w:cs="仿宋_GB2312"/>
          <w:color w:val="auto"/>
          <w:sz w:val="32"/>
          <w:szCs w:val="32"/>
          <w:u w:val="none"/>
          <w:lang w:eastAsia="zh-CN"/>
        </w:rPr>
        <w:t>二级学院</w:t>
      </w:r>
      <w:r>
        <w:rPr>
          <w:rFonts w:hint="eastAsia" w:ascii="仿宋_GB2312" w:hAnsi="仿宋_GB2312" w:eastAsia="仿宋_GB2312" w:cs="仿宋_GB2312"/>
          <w:color w:val="auto"/>
          <w:sz w:val="32"/>
          <w:szCs w:val="32"/>
          <w:u w:val="none"/>
        </w:rPr>
        <w:t>经费使用绩效。</w:t>
      </w:r>
    </w:p>
    <w:p>
      <w:pPr>
        <w:keepNext w:val="0"/>
        <w:keepLines w:val="0"/>
        <w:pageBreakBefore w:val="0"/>
        <w:widowControl/>
        <w:kinsoku/>
        <w:wordWrap/>
        <w:overflowPunct/>
        <w:topLinePunct w:val="0"/>
        <w:bidi w:val="0"/>
        <w:spacing w:line="560" w:lineRule="exact"/>
        <w:ind w:firstLine="632" w:firstLineChars="200"/>
        <w:textAlignment w:val="auto"/>
        <w:rPr>
          <w:rFonts w:hint="eastAsia" w:ascii="仿宋_GB2312" w:hAnsi="仿宋_GB2312" w:eastAsia="仿宋_GB2312" w:cs="仿宋_GB2312"/>
          <w:b w:val="0"/>
          <w:bCs w:val="0"/>
          <w:color w:val="auto"/>
          <w:sz w:val="32"/>
          <w:szCs w:val="32"/>
          <w:highlight w:val="none"/>
          <w:u w:val="none"/>
          <w:lang w:val="en-US" w:eastAsia="zh-CN"/>
        </w:rPr>
      </w:pPr>
      <w:r>
        <w:rPr>
          <w:rFonts w:hint="eastAsia" w:ascii="仿宋_GB2312" w:hAnsi="仿宋_GB2312" w:eastAsia="仿宋_GB2312" w:cs="仿宋_GB2312"/>
          <w:b w:val="0"/>
          <w:bCs w:val="0"/>
          <w:color w:val="auto"/>
          <w:sz w:val="32"/>
          <w:szCs w:val="32"/>
          <w:highlight w:val="none"/>
          <w:u w:val="none"/>
        </w:rPr>
        <w:t>（</w:t>
      </w:r>
      <w:r>
        <w:rPr>
          <w:rFonts w:hint="eastAsia" w:ascii="仿宋_GB2312" w:hAnsi="仿宋_GB2312" w:eastAsia="仿宋_GB2312" w:cs="仿宋_GB2312"/>
          <w:b w:val="0"/>
          <w:bCs w:val="0"/>
          <w:color w:val="auto"/>
          <w:sz w:val="32"/>
          <w:szCs w:val="32"/>
          <w:highlight w:val="none"/>
          <w:u w:val="none"/>
          <w:lang w:eastAsia="zh-CN"/>
        </w:rPr>
        <w:t>五</w:t>
      </w:r>
      <w:r>
        <w:rPr>
          <w:rFonts w:hint="eastAsia" w:ascii="仿宋_GB2312" w:hAnsi="仿宋_GB2312" w:eastAsia="仿宋_GB2312" w:cs="仿宋_GB2312"/>
          <w:b w:val="0"/>
          <w:bCs w:val="0"/>
          <w:color w:val="auto"/>
          <w:sz w:val="32"/>
          <w:szCs w:val="32"/>
          <w:highlight w:val="none"/>
          <w:u w:val="none"/>
        </w:rPr>
        <w:t>）</w:t>
      </w:r>
      <w:r>
        <w:rPr>
          <w:rFonts w:hint="eastAsia" w:ascii="仿宋_GB2312" w:hAnsi="仿宋_GB2312" w:eastAsia="仿宋_GB2312" w:cs="仿宋_GB2312"/>
          <w:b w:val="0"/>
          <w:bCs w:val="0"/>
          <w:color w:val="auto"/>
          <w:sz w:val="32"/>
          <w:szCs w:val="32"/>
          <w:highlight w:val="none"/>
          <w:u w:val="none"/>
          <w:lang w:val="en-US" w:eastAsia="zh-CN"/>
        </w:rPr>
        <w:t>在二级学院创收收入及时足额到账并能达到核拨收入70%的前提下，确保二级学院各项预算经费执行到位。</w:t>
      </w:r>
    </w:p>
    <w:p>
      <w:pPr>
        <w:keepNext w:val="0"/>
        <w:keepLines w:val="0"/>
        <w:pageBreakBefore w:val="0"/>
        <w:widowControl/>
        <w:kinsoku/>
        <w:wordWrap/>
        <w:overflowPunct/>
        <w:topLinePunct w:val="0"/>
        <w:bidi w:val="0"/>
        <w:spacing w:line="560" w:lineRule="exact"/>
        <w:ind w:firstLine="635"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b/>
          <w:bCs/>
          <w:color w:val="auto"/>
          <w:sz w:val="32"/>
          <w:szCs w:val="32"/>
          <w:u w:val="none"/>
        </w:rPr>
        <w:t>第</w:t>
      </w:r>
      <w:r>
        <w:rPr>
          <w:rFonts w:hint="eastAsia" w:ascii="仿宋_GB2312" w:hAnsi="仿宋_GB2312" w:eastAsia="仿宋_GB2312" w:cs="仿宋_GB2312"/>
          <w:b/>
          <w:bCs/>
          <w:color w:val="auto"/>
          <w:sz w:val="32"/>
          <w:szCs w:val="32"/>
          <w:u w:val="none"/>
          <w:lang w:val="en-US" w:eastAsia="zh-CN"/>
        </w:rPr>
        <w:t>四</w:t>
      </w:r>
      <w:r>
        <w:rPr>
          <w:rFonts w:hint="eastAsia" w:ascii="仿宋_GB2312" w:hAnsi="仿宋_GB2312" w:eastAsia="仿宋_GB2312" w:cs="仿宋_GB2312"/>
          <w:b/>
          <w:bCs/>
          <w:color w:val="auto"/>
          <w:sz w:val="32"/>
          <w:szCs w:val="32"/>
          <w:u w:val="none"/>
        </w:rPr>
        <w:t>条</w:t>
      </w:r>
      <w:r>
        <w:rPr>
          <w:rFonts w:hint="eastAsia" w:ascii="仿宋_GB2312" w:hAnsi="仿宋_GB2312" w:eastAsia="仿宋_GB2312" w:cs="仿宋_GB2312"/>
          <w:color w:val="auto"/>
          <w:sz w:val="32"/>
          <w:szCs w:val="32"/>
          <w:u w:val="none"/>
        </w:rPr>
        <w:t xml:space="preserve"> </w:t>
      </w:r>
      <w:r>
        <w:rPr>
          <w:rFonts w:hint="eastAsia" w:ascii="仿宋_GB2312" w:hAnsi="仿宋_GB2312" w:eastAsia="仿宋_GB2312" w:cs="仿宋_GB2312"/>
          <w:color w:val="auto"/>
          <w:sz w:val="32"/>
          <w:szCs w:val="32"/>
          <w:u w:val="none"/>
          <w:lang w:eastAsia="zh-CN"/>
        </w:rPr>
        <w:t>二级学院</w:t>
      </w:r>
      <w:r>
        <w:rPr>
          <w:rFonts w:hint="eastAsia" w:ascii="仿宋_GB2312" w:hAnsi="仿宋_GB2312" w:eastAsia="仿宋_GB2312" w:cs="仿宋_GB2312"/>
          <w:color w:val="auto"/>
          <w:sz w:val="32"/>
          <w:szCs w:val="32"/>
          <w:u w:val="none"/>
        </w:rPr>
        <w:t>职责</w:t>
      </w:r>
    </w:p>
    <w:p>
      <w:pPr>
        <w:keepNext w:val="0"/>
        <w:keepLines w:val="0"/>
        <w:pageBreakBefore w:val="0"/>
        <w:widowControl/>
        <w:kinsoku/>
        <w:wordWrap/>
        <w:overflowPunct/>
        <w:topLinePunct w:val="0"/>
        <w:bidi w:val="0"/>
        <w:spacing w:line="560" w:lineRule="exact"/>
        <w:ind w:firstLine="632" w:firstLineChars="200"/>
        <w:textAlignment w:val="auto"/>
        <w:rPr>
          <w:rFonts w:hint="eastAsia" w:ascii="仿宋_GB2312" w:hAnsi="仿宋_GB2312" w:eastAsia="仿宋_GB2312" w:cs="仿宋_GB2312"/>
          <w:b w:val="0"/>
          <w:bCs w:val="0"/>
          <w:color w:val="auto"/>
          <w:sz w:val="32"/>
          <w:szCs w:val="32"/>
          <w:highlight w:val="none"/>
          <w:u w:val="none"/>
        </w:rPr>
      </w:pPr>
      <w:r>
        <w:rPr>
          <w:rFonts w:hint="eastAsia" w:ascii="楷体_GB2312" w:hAnsi="楷体_GB2312" w:eastAsia="楷体_GB2312" w:cs="楷体_GB2312"/>
          <w:b w:val="0"/>
          <w:bCs w:val="0"/>
          <w:color w:val="auto"/>
          <w:sz w:val="32"/>
          <w:szCs w:val="32"/>
          <w:highlight w:val="none"/>
          <w:u w:val="none"/>
        </w:rPr>
        <w:t>（一）遵守国家财经法规和学校财务管理制度，并据此制订</w:t>
      </w:r>
      <w:r>
        <w:rPr>
          <w:rFonts w:hint="eastAsia" w:ascii="楷体_GB2312" w:hAnsi="楷体_GB2312" w:eastAsia="楷体_GB2312" w:cs="楷体_GB2312"/>
          <w:b w:val="0"/>
          <w:bCs w:val="0"/>
          <w:color w:val="auto"/>
          <w:sz w:val="32"/>
          <w:szCs w:val="32"/>
          <w:highlight w:val="none"/>
          <w:u w:val="none"/>
          <w:lang w:eastAsia="zh-CN"/>
        </w:rPr>
        <w:t>二级学院</w:t>
      </w:r>
      <w:r>
        <w:rPr>
          <w:rFonts w:hint="eastAsia" w:ascii="楷体_GB2312" w:hAnsi="楷体_GB2312" w:eastAsia="楷体_GB2312" w:cs="楷体_GB2312"/>
          <w:b w:val="0"/>
          <w:bCs w:val="0"/>
          <w:color w:val="auto"/>
          <w:sz w:val="32"/>
          <w:szCs w:val="32"/>
          <w:highlight w:val="none"/>
          <w:u w:val="none"/>
        </w:rPr>
        <w:t>财务管理</w:t>
      </w:r>
      <w:r>
        <w:rPr>
          <w:rFonts w:hint="eastAsia" w:ascii="楷体_GB2312" w:hAnsi="楷体_GB2312" w:eastAsia="楷体_GB2312" w:cs="楷体_GB2312"/>
          <w:b w:val="0"/>
          <w:bCs w:val="0"/>
          <w:color w:val="auto"/>
          <w:sz w:val="32"/>
          <w:szCs w:val="32"/>
          <w:highlight w:val="none"/>
          <w:u w:val="none"/>
          <w:lang w:val="en-US" w:eastAsia="zh-CN"/>
        </w:rPr>
        <w:t>实施</w:t>
      </w:r>
      <w:r>
        <w:rPr>
          <w:rFonts w:hint="eastAsia" w:ascii="楷体_GB2312" w:hAnsi="楷体_GB2312" w:eastAsia="楷体_GB2312" w:cs="楷体_GB2312"/>
          <w:b w:val="0"/>
          <w:bCs w:val="0"/>
          <w:color w:val="auto"/>
          <w:sz w:val="32"/>
          <w:szCs w:val="32"/>
          <w:highlight w:val="none"/>
          <w:u w:val="none"/>
        </w:rPr>
        <w:t>办法</w:t>
      </w:r>
      <w:r>
        <w:rPr>
          <w:rFonts w:hint="eastAsia" w:ascii="楷体_GB2312" w:hAnsi="楷体_GB2312" w:eastAsia="楷体_GB2312" w:cs="楷体_GB2312"/>
          <w:b w:val="0"/>
          <w:bCs w:val="0"/>
          <w:color w:val="auto"/>
          <w:sz w:val="32"/>
          <w:szCs w:val="32"/>
          <w:highlight w:val="none"/>
          <w:u w:val="none"/>
          <w:lang w:eastAsia="zh-CN"/>
        </w:rPr>
        <w:t>，</w:t>
      </w:r>
      <w:r>
        <w:rPr>
          <w:rFonts w:hint="eastAsia" w:ascii="楷体_GB2312" w:hAnsi="楷体_GB2312" w:eastAsia="楷体_GB2312" w:cs="楷体_GB2312"/>
          <w:b w:val="0"/>
          <w:bCs w:val="0"/>
          <w:color w:val="auto"/>
          <w:sz w:val="32"/>
          <w:szCs w:val="32"/>
          <w:highlight w:val="none"/>
          <w:u w:val="none"/>
          <w:lang w:val="en-US" w:eastAsia="zh-CN"/>
        </w:rPr>
        <w:t>内容包括：</w:t>
      </w:r>
      <w:r>
        <w:rPr>
          <w:rFonts w:hint="eastAsia" w:ascii="仿宋_GB2312" w:hAnsi="仿宋_GB2312" w:eastAsia="仿宋_GB2312" w:cs="仿宋_GB2312"/>
          <w:b w:val="0"/>
          <w:bCs w:val="0"/>
          <w:color w:val="auto"/>
          <w:sz w:val="32"/>
          <w:szCs w:val="32"/>
          <w:highlight w:val="none"/>
          <w:u w:val="none"/>
          <w:lang w:val="en-US" w:eastAsia="zh-CN"/>
        </w:rPr>
        <w:t>二级学院财务管理职责、预算编制与调整审批、经费支出范围与审批、</w:t>
      </w:r>
      <w:r>
        <w:rPr>
          <w:rFonts w:hint="eastAsia" w:ascii="仿宋_GB2312" w:hAnsi="仿宋_GB2312" w:eastAsia="仿宋_GB2312" w:cs="仿宋_GB2312"/>
          <w:b w:val="0"/>
          <w:bCs w:val="0"/>
          <w:color w:val="auto"/>
          <w:sz w:val="32"/>
          <w:szCs w:val="32"/>
          <w:highlight w:val="none"/>
          <w:u w:val="none"/>
          <w:lang w:eastAsia="zh-CN"/>
        </w:rPr>
        <w:t>绩效</w:t>
      </w:r>
      <w:r>
        <w:rPr>
          <w:rFonts w:hint="eastAsia" w:ascii="仿宋_GB2312" w:hAnsi="仿宋_GB2312" w:eastAsia="仿宋_GB2312" w:cs="仿宋_GB2312"/>
          <w:b w:val="0"/>
          <w:bCs w:val="0"/>
          <w:color w:val="auto"/>
          <w:sz w:val="32"/>
          <w:szCs w:val="32"/>
          <w:highlight w:val="none"/>
          <w:u w:val="none"/>
          <w:lang w:val="en-US" w:eastAsia="zh-CN"/>
        </w:rPr>
        <w:t>分配标准与</w:t>
      </w:r>
      <w:r>
        <w:rPr>
          <w:rFonts w:hint="eastAsia" w:ascii="仿宋_GB2312" w:hAnsi="仿宋_GB2312" w:eastAsia="仿宋_GB2312" w:cs="仿宋_GB2312"/>
          <w:b w:val="0"/>
          <w:bCs w:val="0"/>
          <w:color w:val="auto"/>
          <w:sz w:val="32"/>
          <w:szCs w:val="32"/>
          <w:highlight w:val="none"/>
          <w:u w:val="none"/>
          <w:lang w:eastAsia="zh-CN"/>
        </w:rPr>
        <w:t>奖励</w:t>
      </w:r>
      <w:r>
        <w:rPr>
          <w:rFonts w:hint="eastAsia" w:ascii="仿宋_GB2312" w:hAnsi="仿宋_GB2312" w:eastAsia="仿宋_GB2312" w:cs="仿宋_GB2312"/>
          <w:b w:val="0"/>
          <w:bCs w:val="0"/>
          <w:color w:val="auto"/>
          <w:sz w:val="32"/>
          <w:szCs w:val="32"/>
          <w:highlight w:val="none"/>
          <w:u w:val="none"/>
        </w:rPr>
        <w:t>办法</w:t>
      </w:r>
      <w:r>
        <w:rPr>
          <w:rFonts w:hint="eastAsia" w:ascii="仿宋_GB2312" w:hAnsi="仿宋_GB2312" w:eastAsia="仿宋_GB2312" w:cs="仿宋_GB2312"/>
          <w:b w:val="0"/>
          <w:bCs w:val="0"/>
          <w:color w:val="auto"/>
          <w:sz w:val="32"/>
          <w:szCs w:val="32"/>
          <w:highlight w:val="none"/>
          <w:u w:val="none"/>
          <w:lang w:val="en-US" w:eastAsia="zh-CN"/>
        </w:rPr>
        <w:t>等</w:t>
      </w:r>
      <w:r>
        <w:rPr>
          <w:rFonts w:hint="eastAsia" w:ascii="仿宋_GB2312" w:hAnsi="仿宋_GB2312" w:eastAsia="仿宋_GB2312" w:cs="仿宋_GB2312"/>
          <w:b w:val="0"/>
          <w:bCs w:val="0"/>
          <w:color w:val="auto"/>
          <w:sz w:val="32"/>
          <w:szCs w:val="32"/>
          <w:highlight w:val="none"/>
          <w:u w:val="none"/>
        </w:rPr>
        <w:t>。</w:t>
      </w:r>
    </w:p>
    <w:p>
      <w:pPr>
        <w:keepNext w:val="0"/>
        <w:keepLines w:val="0"/>
        <w:pageBreakBefore w:val="0"/>
        <w:widowControl/>
        <w:kinsoku/>
        <w:wordWrap/>
        <w:overflowPunct/>
        <w:topLinePunct w:val="0"/>
        <w:bidi w:val="0"/>
        <w:spacing w:line="560" w:lineRule="exact"/>
        <w:ind w:firstLine="632" w:firstLineChars="200"/>
        <w:textAlignment w:val="auto"/>
        <w:rPr>
          <w:rFonts w:hint="eastAsia" w:ascii="仿宋_GB2312" w:hAnsi="仿宋_GB2312" w:eastAsia="仿宋_GB2312" w:cs="仿宋_GB2312"/>
          <w:b w:val="0"/>
          <w:bCs w:val="0"/>
          <w:color w:val="auto"/>
          <w:sz w:val="32"/>
          <w:szCs w:val="32"/>
          <w:highlight w:val="none"/>
          <w:u w:val="none"/>
        </w:rPr>
      </w:pPr>
      <w:r>
        <w:rPr>
          <w:rFonts w:hint="eastAsia" w:ascii="仿宋_GB2312" w:hAnsi="仿宋_GB2312" w:eastAsia="仿宋_GB2312" w:cs="仿宋_GB2312"/>
          <w:b w:val="0"/>
          <w:bCs w:val="0"/>
          <w:color w:val="auto"/>
          <w:sz w:val="32"/>
          <w:szCs w:val="32"/>
          <w:highlight w:val="none"/>
          <w:u w:val="none"/>
          <w:lang w:eastAsia="zh-CN"/>
        </w:rPr>
        <w:t>（</w:t>
      </w:r>
      <w:r>
        <w:rPr>
          <w:rFonts w:hint="eastAsia" w:ascii="仿宋_GB2312" w:hAnsi="仿宋_GB2312" w:eastAsia="仿宋_GB2312" w:cs="仿宋_GB2312"/>
          <w:b w:val="0"/>
          <w:bCs w:val="0"/>
          <w:color w:val="auto"/>
          <w:sz w:val="32"/>
          <w:szCs w:val="32"/>
          <w:highlight w:val="none"/>
          <w:u w:val="none"/>
          <w:lang w:val="en-US" w:eastAsia="zh-CN"/>
        </w:rPr>
        <w:t>二</w:t>
      </w:r>
      <w:r>
        <w:rPr>
          <w:rFonts w:hint="eastAsia" w:ascii="仿宋_GB2312" w:hAnsi="仿宋_GB2312" w:eastAsia="仿宋_GB2312" w:cs="仿宋_GB2312"/>
          <w:b w:val="0"/>
          <w:bCs w:val="0"/>
          <w:color w:val="auto"/>
          <w:sz w:val="32"/>
          <w:szCs w:val="32"/>
          <w:highlight w:val="none"/>
          <w:u w:val="none"/>
          <w:lang w:eastAsia="zh-CN"/>
        </w:rPr>
        <w:t>）</w:t>
      </w:r>
      <w:r>
        <w:rPr>
          <w:rFonts w:hint="eastAsia" w:ascii="仿宋_GB2312" w:hAnsi="仿宋_GB2312" w:eastAsia="仿宋_GB2312" w:cs="仿宋_GB2312"/>
          <w:b w:val="0"/>
          <w:bCs w:val="0"/>
          <w:color w:val="auto"/>
          <w:sz w:val="32"/>
          <w:szCs w:val="32"/>
          <w:highlight w:val="none"/>
          <w:u w:val="none"/>
          <w:lang w:val="en-US" w:eastAsia="zh-CN"/>
        </w:rPr>
        <w:t>按照</w:t>
      </w:r>
      <w:r>
        <w:rPr>
          <w:rFonts w:hint="eastAsia" w:ascii="仿宋_GB2312" w:hAnsi="仿宋_GB2312" w:eastAsia="仿宋_GB2312" w:cs="仿宋_GB2312"/>
          <w:b w:val="0"/>
          <w:bCs w:val="0"/>
          <w:color w:val="auto"/>
          <w:sz w:val="32"/>
          <w:szCs w:val="32"/>
          <w:highlight w:val="none"/>
          <w:u w:val="none"/>
        </w:rPr>
        <w:t>学校相关要求合理编制</w:t>
      </w:r>
      <w:r>
        <w:rPr>
          <w:rFonts w:hint="eastAsia" w:ascii="仿宋_GB2312" w:hAnsi="仿宋_GB2312" w:eastAsia="仿宋_GB2312" w:cs="仿宋_GB2312"/>
          <w:b w:val="0"/>
          <w:bCs w:val="0"/>
          <w:color w:val="auto"/>
          <w:sz w:val="32"/>
          <w:szCs w:val="32"/>
          <w:highlight w:val="none"/>
          <w:u w:val="none"/>
          <w:lang w:eastAsia="zh-CN"/>
        </w:rPr>
        <w:t>二级学院</w:t>
      </w:r>
      <w:r>
        <w:rPr>
          <w:rFonts w:hint="eastAsia" w:ascii="仿宋_GB2312" w:hAnsi="仿宋_GB2312" w:eastAsia="仿宋_GB2312" w:cs="仿宋_GB2312"/>
          <w:b w:val="0"/>
          <w:bCs w:val="0"/>
          <w:color w:val="auto"/>
          <w:sz w:val="32"/>
          <w:szCs w:val="32"/>
          <w:highlight w:val="none"/>
          <w:u w:val="none"/>
          <w:lang w:val="en-US" w:eastAsia="zh-CN"/>
        </w:rPr>
        <w:t>经费</w:t>
      </w:r>
      <w:r>
        <w:rPr>
          <w:rFonts w:hint="eastAsia" w:ascii="仿宋_GB2312" w:hAnsi="仿宋_GB2312" w:eastAsia="仿宋_GB2312" w:cs="仿宋_GB2312"/>
          <w:b w:val="0"/>
          <w:bCs w:val="0"/>
          <w:color w:val="auto"/>
          <w:sz w:val="32"/>
          <w:szCs w:val="32"/>
          <w:highlight w:val="none"/>
          <w:u w:val="none"/>
        </w:rPr>
        <w:t>预算</w:t>
      </w:r>
      <w:r>
        <w:rPr>
          <w:rFonts w:hint="eastAsia" w:ascii="仿宋_GB2312" w:hAnsi="仿宋_GB2312" w:eastAsia="仿宋_GB2312" w:cs="仿宋_GB2312"/>
          <w:b w:val="0"/>
          <w:bCs w:val="0"/>
          <w:color w:val="auto"/>
          <w:sz w:val="32"/>
          <w:szCs w:val="32"/>
          <w:highlight w:val="none"/>
          <w:u w:val="none"/>
          <w:lang w:val="en-US" w:eastAsia="zh-CN"/>
        </w:rPr>
        <w:t>，</w:t>
      </w:r>
      <w:r>
        <w:rPr>
          <w:rFonts w:hint="eastAsia" w:ascii="仿宋_GB2312" w:hAnsi="仿宋_GB2312" w:eastAsia="仿宋_GB2312" w:cs="仿宋_GB2312"/>
          <w:b w:val="0"/>
          <w:bCs w:val="0"/>
          <w:color w:val="auto"/>
          <w:sz w:val="32"/>
          <w:szCs w:val="32"/>
          <w:highlight w:val="none"/>
          <w:u w:val="none"/>
        </w:rPr>
        <w:t>严格执行学校批准的</w:t>
      </w:r>
      <w:r>
        <w:rPr>
          <w:rFonts w:hint="eastAsia" w:ascii="仿宋_GB2312" w:hAnsi="仿宋_GB2312" w:eastAsia="仿宋_GB2312" w:cs="仿宋_GB2312"/>
          <w:b w:val="0"/>
          <w:bCs w:val="0"/>
          <w:color w:val="auto"/>
          <w:sz w:val="32"/>
          <w:szCs w:val="32"/>
          <w:highlight w:val="none"/>
          <w:u w:val="none"/>
          <w:lang w:eastAsia="zh-CN"/>
        </w:rPr>
        <w:t>部门</w:t>
      </w:r>
      <w:r>
        <w:rPr>
          <w:rFonts w:hint="eastAsia" w:ascii="仿宋_GB2312" w:hAnsi="仿宋_GB2312" w:eastAsia="仿宋_GB2312" w:cs="仿宋_GB2312"/>
          <w:b w:val="0"/>
          <w:bCs w:val="0"/>
          <w:color w:val="auto"/>
          <w:sz w:val="32"/>
          <w:szCs w:val="32"/>
          <w:highlight w:val="none"/>
          <w:u w:val="none"/>
        </w:rPr>
        <w:t>预算，</w:t>
      </w:r>
      <w:r>
        <w:rPr>
          <w:rFonts w:hint="eastAsia" w:ascii="仿宋_GB2312" w:hAnsi="仿宋_GB2312" w:eastAsia="仿宋_GB2312" w:cs="仿宋_GB2312"/>
          <w:b w:val="0"/>
          <w:bCs w:val="0"/>
          <w:color w:val="auto"/>
          <w:sz w:val="32"/>
          <w:szCs w:val="32"/>
          <w:highlight w:val="none"/>
          <w:u w:val="none"/>
          <w:lang w:eastAsia="zh-CN"/>
        </w:rPr>
        <w:t>并</w:t>
      </w:r>
      <w:r>
        <w:rPr>
          <w:rFonts w:hint="eastAsia" w:ascii="仿宋_GB2312" w:hAnsi="仿宋_GB2312" w:eastAsia="仿宋_GB2312" w:cs="仿宋_GB2312"/>
          <w:b w:val="0"/>
          <w:bCs w:val="0"/>
          <w:color w:val="auto"/>
          <w:sz w:val="32"/>
          <w:szCs w:val="32"/>
          <w:highlight w:val="none"/>
          <w:u w:val="none"/>
        </w:rPr>
        <w:t>对预算</w:t>
      </w:r>
      <w:r>
        <w:rPr>
          <w:rFonts w:hint="eastAsia" w:ascii="仿宋_GB2312" w:hAnsi="仿宋_GB2312" w:eastAsia="仿宋_GB2312" w:cs="仿宋_GB2312"/>
          <w:b w:val="0"/>
          <w:bCs w:val="0"/>
          <w:color w:val="auto"/>
          <w:sz w:val="32"/>
          <w:szCs w:val="32"/>
          <w:highlight w:val="none"/>
          <w:u w:val="none"/>
          <w:lang w:eastAsia="zh-CN"/>
        </w:rPr>
        <w:t>执行结果负责。</w:t>
      </w:r>
    </w:p>
    <w:p>
      <w:pPr>
        <w:keepNext w:val="0"/>
        <w:keepLines w:val="0"/>
        <w:pageBreakBefore w:val="0"/>
        <w:widowControl/>
        <w:kinsoku/>
        <w:wordWrap/>
        <w:overflowPunct/>
        <w:topLinePunct w:val="0"/>
        <w:bidi w:val="0"/>
        <w:spacing w:line="560" w:lineRule="exact"/>
        <w:ind w:firstLine="632" w:firstLineChars="200"/>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val="en-US" w:eastAsia="zh-CN"/>
        </w:rPr>
        <w:t>三</w:t>
      </w:r>
      <w:r>
        <w:rPr>
          <w:rFonts w:hint="eastAsia" w:ascii="仿宋_GB2312" w:hAnsi="仿宋_GB2312" w:eastAsia="仿宋_GB2312" w:cs="仿宋_GB2312"/>
          <w:color w:val="auto"/>
          <w:sz w:val="32"/>
          <w:szCs w:val="32"/>
          <w:u w:val="none"/>
        </w:rPr>
        <w:t>）统筹安排</w:t>
      </w:r>
      <w:r>
        <w:rPr>
          <w:rFonts w:hint="eastAsia" w:ascii="仿宋_GB2312" w:hAnsi="仿宋_GB2312" w:eastAsia="仿宋_GB2312" w:cs="仿宋_GB2312"/>
          <w:color w:val="auto"/>
          <w:sz w:val="32"/>
          <w:szCs w:val="32"/>
          <w:u w:val="none"/>
          <w:lang w:eastAsia="zh-CN"/>
        </w:rPr>
        <w:t>二级学院</w:t>
      </w:r>
      <w:r>
        <w:rPr>
          <w:rFonts w:hint="eastAsia" w:ascii="仿宋_GB2312" w:hAnsi="仿宋_GB2312" w:eastAsia="仿宋_GB2312" w:cs="仿宋_GB2312"/>
          <w:color w:val="auto"/>
          <w:sz w:val="32"/>
          <w:szCs w:val="32"/>
          <w:u w:val="none"/>
          <w:lang w:val="en-US" w:eastAsia="zh-CN"/>
        </w:rPr>
        <w:t>各项</w:t>
      </w:r>
      <w:r>
        <w:rPr>
          <w:rFonts w:hint="eastAsia" w:ascii="仿宋_GB2312" w:hAnsi="仿宋_GB2312" w:eastAsia="仿宋_GB2312" w:cs="仿宋_GB2312"/>
          <w:color w:val="auto"/>
          <w:sz w:val="32"/>
          <w:szCs w:val="32"/>
          <w:u w:val="none"/>
        </w:rPr>
        <w:t>经费</w:t>
      </w:r>
      <w:r>
        <w:rPr>
          <w:rFonts w:hint="eastAsia" w:ascii="仿宋_GB2312" w:hAnsi="仿宋_GB2312" w:eastAsia="仿宋_GB2312" w:cs="仿宋_GB2312"/>
          <w:color w:val="auto"/>
          <w:sz w:val="32"/>
          <w:szCs w:val="32"/>
          <w:u w:val="none"/>
          <w:lang w:val="en-US" w:eastAsia="zh-CN"/>
        </w:rPr>
        <w:t>支出</w:t>
      </w: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val="en-US" w:eastAsia="zh-CN"/>
        </w:rPr>
        <w:t>严格执行经费开支审批流程。</w:t>
      </w:r>
    </w:p>
    <w:p>
      <w:pPr>
        <w:pStyle w:val="2"/>
        <w:keepNext w:val="0"/>
        <w:keepLines w:val="0"/>
        <w:pageBreakBefore w:val="0"/>
        <w:kinsoku/>
        <w:wordWrap/>
        <w:overflowPunct/>
        <w:topLinePunct w:val="0"/>
        <w:bidi w:val="0"/>
        <w:spacing w:line="560" w:lineRule="exact"/>
        <w:textAlignment w:val="auto"/>
        <w:rPr>
          <w:rFonts w:hint="default"/>
          <w:lang w:val="en-US" w:eastAsia="zh-CN"/>
        </w:rPr>
      </w:pPr>
      <w:r>
        <w:rPr>
          <w:rFonts w:hint="eastAsia" w:ascii="仿宋_GB2312" w:hAnsi="仿宋_GB2312" w:cs="仿宋_GB2312"/>
          <w:color w:val="auto"/>
          <w:sz w:val="32"/>
          <w:szCs w:val="32"/>
          <w:u w:val="none"/>
          <w:lang w:val="en-US" w:eastAsia="zh-CN"/>
        </w:rPr>
        <w:t xml:space="preserve">    </w:t>
      </w: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val="en-US" w:eastAsia="zh-CN"/>
        </w:rPr>
        <w:t>四</w:t>
      </w: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val="en-US" w:eastAsia="zh-CN"/>
        </w:rPr>
        <w:t>增收节支</w:t>
      </w:r>
      <w:r>
        <w:rPr>
          <w:rFonts w:hint="eastAsia" w:ascii="仿宋_GB2312" w:hAnsi="仿宋_GB2312" w:eastAsia="仿宋_GB2312" w:cs="仿宋_GB2312"/>
          <w:color w:val="auto"/>
          <w:sz w:val="32"/>
          <w:szCs w:val="32"/>
          <w:u w:val="none"/>
        </w:rPr>
        <w:t>，依法多渠道筹集办学资金，</w:t>
      </w:r>
      <w:r>
        <w:rPr>
          <w:rFonts w:hint="eastAsia" w:ascii="仿宋_GB2312" w:hAnsi="仿宋_GB2312" w:eastAsia="仿宋_GB2312" w:cs="仿宋_GB2312"/>
          <w:color w:val="auto"/>
          <w:sz w:val="32"/>
          <w:szCs w:val="32"/>
          <w:u w:val="none"/>
          <w:lang w:val="en-US" w:eastAsia="zh-CN"/>
        </w:rPr>
        <w:t>严控消耗性支</w:t>
      </w:r>
    </w:p>
    <w:p>
      <w:pPr>
        <w:keepNext w:val="0"/>
        <w:keepLines w:val="0"/>
        <w:pageBreakBefore w:val="0"/>
        <w:widowControl/>
        <w:kinsoku/>
        <w:wordWrap/>
        <w:overflowPunct/>
        <w:topLinePunct w:val="0"/>
        <w:bidi w:val="0"/>
        <w:spacing w:line="560" w:lineRule="exact"/>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lang w:val="en-US" w:eastAsia="zh-CN"/>
        </w:rPr>
        <w:t>出，</w:t>
      </w:r>
      <w:r>
        <w:rPr>
          <w:rFonts w:hint="eastAsia" w:ascii="仿宋_GB2312" w:hAnsi="仿宋_GB2312" w:eastAsia="仿宋_GB2312" w:cs="仿宋_GB2312"/>
          <w:color w:val="auto"/>
          <w:sz w:val="32"/>
          <w:szCs w:val="32"/>
          <w:u w:val="none"/>
        </w:rPr>
        <w:t>提高办学效益，增强办学实力。</w:t>
      </w:r>
    </w:p>
    <w:p>
      <w:pPr>
        <w:keepNext w:val="0"/>
        <w:keepLines w:val="0"/>
        <w:pageBreakBefore w:val="0"/>
        <w:widowControl/>
        <w:kinsoku/>
        <w:wordWrap/>
        <w:overflowPunct/>
        <w:topLinePunct w:val="0"/>
        <w:bidi w:val="0"/>
        <w:spacing w:line="560" w:lineRule="exact"/>
        <w:ind w:firstLine="632"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eastAsia="zh-CN"/>
        </w:rPr>
        <w:t>五</w:t>
      </w: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val="en-US" w:eastAsia="zh-CN"/>
        </w:rPr>
        <w:t>自觉</w:t>
      </w:r>
      <w:r>
        <w:rPr>
          <w:rFonts w:hint="eastAsia" w:ascii="仿宋_GB2312" w:hAnsi="仿宋_GB2312" w:eastAsia="仿宋_GB2312" w:cs="仿宋_GB2312"/>
          <w:color w:val="auto"/>
          <w:sz w:val="32"/>
          <w:szCs w:val="32"/>
          <w:u w:val="none"/>
        </w:rPr>
        <w:t>接受</w:t>
      </w:r>
      <w:r>
        <w:rPr>
          <w:rFonts w:hint="eastAsia" w:ascii="仿宋_GB2312" w:hAnsi="仿宋_GB2312" w:eastAsia="仿宋_GB2312" w:cs="仿宋_GB2312"/>
          <w:color w:val="auto"/>
          <w:sz w:val="32"/>
          <w:szCs w:val="32"/>
          <w:u w:val="none"/>
          <w:lang w:eastAsia="zh-CN"/>
        </w:rPr>
        <w:t>学校</w:t>
      </w:r>
      <w:r>
        <w:rPr>
          <w:rFonts w:hint="eastAsia" w:ascii="仿宋_GB2312" w:hAnsi="仿宋_GB2312" w:eastAsia="仿宋_GB2312" w:cs="仿宋_GB2312"/>
          <w:color w:val="auto"/>
          <w:sz w:val="32"/>
          <w:szCs w:val="32"/>
          <w:u w:val="none"/>
        </w:rPr>
        <w:t>财务</w:t>
      </w:r>
      <w:r>
        <w:rPr>
          <w:rFonts w:hint="eastAsia" w:ascii="仿宋_GB2312" w:hAnsi="仿宋_GB2312" w:eastAsia="仿宋_GB2312" w:cs="仿宋_GB2312"/>
          <w:color w:val="auto"/>
          <w:sz w:val="32"/>
          <w:szCs w:val="32"/>
          <w:u w:val="none"/>
          <w:lang w:eastAsia="zh-CN"/>
        </w:rPr>
        <w:t>、审计、纪检监察</w:t>
      </w:r>
      <w:r>
        <w:rPr>
          <w:rFonts w:hint="eastAsia" w:ascii="仿宋_GB2312" w:hAnsi="仿宋_GB2312" w:eastAsia="仿宋_GB2312" w:cs="仿宋_GB2312"/>
          <w:color w:val="auto"/>
          <w:sz w:val="32"/>
          <w:szCs w:val="32"/>
          <w:u w:val="none"/>
        </w:rPr>
        <w:t>监督。</w:t>
      </w:r>
    </w:p>
    <w:p>
      <w:pPr>
        <w:keepNext w:val="0"/>
        <w:keepLines w:val="0"/>
        <w:pageBreakBefore w:val="0"/>
        <w:widowControl/>
        <w:kinsoku/>
        <w:wordWrap/>
        <w:overflowPunct/>
        <w:topLinePunct w:val="0"/>
        <w:autoSpaceDE/>
        <w:autoSpaceDN/>
        <w:bidi w:val="0"/>
        <w:adjustRightInd/>
        <w:snapToGrid/>
        <w:spacing w:before="157" w:beforeLines="50" w:after="157" w:afterLines="50" w:line="560" w:lineRule="exact"/>
        <w:jc w:val="center"/>
        <w:textAlignment w:val="auto"/>
        <w:rPr>
          <w:rFonts w:hint="eastAsia" w:ascii="黑体" w:hAnsi="黑体" w:eastAsia="黑体" w:cs="黑体"/>
          <w:b w:val="0"/>
          <w:bCs w:val="0"/>
          <w:color w:val="auto"/>
          <w:sz w:val="32"/>
          <w:szCs w:val="32"/>
          <w:u w:val="none"/>
          <w:lang w:val="en-US" w:eastAsia="zh-CN"/>
        </w:rPr>
      </w:pPr>
      <w:r>
        <w:rPr>
          <w:rFonts w:hint="eastAsia" w:ascii="黑体" w:hAnsi="黑体" w:eastAsia="黑体" w:cs="黑体"/>
          <w:b w:val="0"/>
          <w:bCs w:val="0"/>
          <w:color w:val="auto"/>
          <w:sz w:val="32"/>
          <w:szCs w:val="32"/>
          <w:u w:val="none"/>
          <w:lang w:eastAsia="zh-CN"/>
        </w:rPr>
        <w:t>第三章</w:t>
      </w:r>
      <w:r>
        <w:rPr>
          <w:rFonts w:hint="eastAsia" w:ascii="黑体" w:hAnsi="黑体" w:eastAsia="黑体" w:cs="黑体"/>
          <w:b w:val="0"/>
          <w:bCs w:val="0"/>
          <w:color w:val="auto"/>
          <w:sz w:val="32"/>
          <w:szCs w:val="32"/>
          <w:u w:val="none"/>
          <w:lang w:val="en-US" w:eastAsia="zh-CN"/>
        </w:rPr>
        <w:t xml:space="preserve">  校院两级收入来源</w:t>
      </w:r>
    </w:p>
    <w:p>
      <w:pPr>
        <w:keepNext w:val="0"/>
        <w:keepLines w:val="0"/>
        <w:pageBreakBefore w:val="0"/>
        <w:widowControl/>
        <w:kinsoku/>
        <w:wordWrap/>
        <w:overflowPunct/>
        <w:topLinePunct w:val="0"/>
        <w:bidi w:val="0"/>
        <w:spacing w:line="560" w:lineRule="exact"/>
        <w:ind w:firstLine="635"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b/>
          <w:bCs/>
          <w:color w:val="auto"/>
          <w:sz w:val="32"/>
          <w:szCs w:val="32"/>
          <w:u w:val="none"/>
        </w:rPr>
        <w:t>第</w:t>
      </w:r>
      <w:r>
        <w:rPr>
          <w:rFonts w:hint="eastAsia" w:ascii="仿宋_GB2312" w:hAnsi="仿宋_GB2312" w:eastAsia="仿宋_GB2312" w:cs="仿宋_GB2312"/>
          <w:b/>
          <w:bCs/>
          <w:color w:val="auto"/>
          <w:sz w:val="32"/>
          <w:szCs w:val="32"/>
          <w:u w:val="none"/>
          <w:lang w:val="en-US" w:eastAsia="zh-CN"/>
        </w:rPr>
        <w:t>五</w:t>
      </w:r>
      <w:r>
        <w:rPr>
          <w:rFonts w:hint="eastAsia" w:ascii="仿宋_GB2312" w:hAnsi="仿宋_GB2312" w:eastAsia="仿宋_GB2312" w:cs="仿宋_GB2312"/>
          <w:b/>
          <w:bCs/>
          <w:color w:val="auto"/>
          <w:sz w:val="32"/>
          <w:szCs w:val="32"/>
          <w:u w:val="none"/>
        </w:rPr>
        <w:t>条</w:t>
      </w:r>
      <w:r>
        <w:rPr>
          <w:rFonts w:hint="eastAsia" w:ascii="仿宋_GB2312" w:hAnsi="仿宋_GB2312" w:cs="仿宋_GB2312"/>
          <w:color w:val="auto"/>
          <w:sz w:val="32"/>
          <w:szCs w:val="32"/>
          <w:u w:val="none"/>
          <w:lang w:val="en-US" w:eastAsia="zh-CN"/>
        </w:rPr>
        <w:t xml:space="preserve"> </w:t>
      </w:r>
      <w:r>
        <w:rPr>
          <w:rFonts w:hint="eastAsia" w:ascii="仿宋_GB2312" w:hAnsi="仿宋_GB2312" w:eastAsia="仿宋_GB2312" w:cs="仿宋_GB2312"/>
          <w:color w:val="auto"/>
          <w:sz w:val="32"/>
          <w:szCs w:val="32"/>
          <w:u w:val="none"/>
          <w:lang w:eastAsia="zh-CN"/>
        </w:rPr>
        <w:t>学校</w:t>
      </w:r>
      <w:r>
        <w:rPr>
          <w:rFonts w:hint="eastAsia" w:ascii="仿宋_GB2312" w:hAnsi="仿宋_GB2312" w:eastAsia="仿宋_GB2312" w:cs="仿宋_GB2312"/>
          <w:color w:val="auto"/>
          <w:sz w:val="32"/>
          <w:szCs w:val="32"/>
          <w:u w:val="none"/>
        </w:rPr>
        <w:t>收入来源</w:t>
      </w:r>
    </w:p>
    <w:p>
      <w:pPr>
        <w:keepNext w:val="0"/>
        <w:keepLines w:val="0"/>
        <w:pageBreakBefore w:val="0"/>
        <w:widowControl/>
        <w:kinsoku/>
        <w:wordWrap/>
        <w:overflowPunct/>
        <w:topLinePunct w:val="0"/>
        <w:bidi w:val="0"/>
        <w:spacing w:line="560" w:lineRule="exact"/>
        <w:ind w:firstLine="632" w:firstLineChars="200"/>
        <w:textAlignment w:val="auto"/>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color w:val="auto"/>
          <w:sz w:val="32"/>
          <w:szCs w:val="32"/>
          <w:u w:val="none"/>
        </w:rPr>
        <w:t>（一）财政拨款</w:t>
      </w:r>
      <w:r>
        <w:rPr>
          <w:rFonts w:hint="eastAsia" w:ascii="仿宋_GB2312" w:hAnsi="仿宋_GB2312" w:eastAsia="仿宋_GB2312" w:cs="仿宋_GB2312"/>
          <w:color w:val="auto"/>
          <w:sz w:val="32"/>
          <w:szCs w:val="32"/>
          <w:u w:val="none"/>
          <w:lang w:eastAsia="zh-CN"/>
        </w:rPr>
        <w:t>收入、上级补助收入、科研与专项项目建设收入；</w:t>
      </w:r>
    </w:p>
    <w:p>
      <w:pPr>
        <w:keepNext w:val="0"/>
        <w:keepLines w:val="0"/>
        <w:pageBreakBefore w:val="0"/>
        <w:widowControl/>
        <w:kinsoku/>
        <w:wordWrap/>
        <w:overflowPunct/>
        <w:topLinePunct w:val="0"/>
        <w:bidi w:val="0"/>
        <w:spacing w:line="560" w:lineRule="exact"/>
        <w:ind w:firstLine="632"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（二）全日制学生学</w:t>
      </w:r>
      <w:r>
        <w:rPr>
          <w:rFonts w:hint="eastAsia" w:ascii="仿宋_GB2312" w:hAnsi="仿宋_GB2312" w:eastAsia="仿宋_GB2312" w:cs="仿宋_GB2312"/>
          <w:color w:val="auto"/>
          <w:sz w:val="32"/>
          <w:szCs w:val="32"/>
          <w:u w:val="none"/>
          <w:lang w:eastAsia="zh-CN"/>
        </w:rPr>
        <w:t>费、住宿费及其他杂费</w:t>
      </w:r>
      <w:r>
        <w:rPr>
          <w:rFonts w:hint="eastAsia" w:ascii="仿宋_GB2312" w:hAnsi="仿宋_GB2312" w:eastAsia="仿宋_GB2312" w:cs="仿宋_GB2312"/>
          <w:color w:val="auto"/>
          <w:sz w:val="32"/>
          <w:szCs w:val="32"/>
          <w:u w:val="none"/>
        </w:rPr>
        <w:t>；</w:t>
      </w:r>
    </w:p>
    <w:p>
      <w:pPr>
        <w:keepNext w:val="0"/>
        <w:keepLines w:val="0"/>
        <w:pageBreakBefore w:val="0"/>
        <w:widowControl/>
        <w:kinsoku/>
        <w:wordWrap/>
        <w:overflowPunct/>
        <w:topLinePunct w:val="0"/>
        <w:bidi w:val="0"/>
        <w:spacing w:line="560" w:lineRule="exact"/>
        <w:ind w:firstLine="632" w:firstLineChars="200"/>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rPr>
        <w:t>（三）</w:t>
      </w:r>
      <w:r>
        <w:rPr>
          <w:rFonts w:hint="eastAsia" w:ascii="仿宋_GB2312" w:hAnsi="仿宋_GB2312" w:eastAsia="仿宋_GB2312" w:cs="仿宋_GB2312"/>
          <w:color w:val="auto"/>
          <w:sz w:val="32"/>
          <w:szCs w:val="32"/>
          <w:u w:val="none"/>
          <w:lang w:val="en-US" w:eastAsia="zh-CN"/>
        </w:rPr>
        <w:t>职业培训与技能等级认定收入、校企合作收入、技术服务收入；</w:t>
      </w:r>
    </w:p>
    <w:p>
      <w:pPr>
        <w:keepNext w:val="0"/>
        <w:keepLines w:val="0"/>
        <w:pageBreakBefore w:val="0"/>
        <w:widowControl/>
        <w:kinsoku/>
        <w:wordWrap/>
        <w:overflowPunct/>
        <w:topLinePunct w:val="0"/>
        <w:bidi w:val="0"/>
        <w:spacing w:line="560" w:lineRule="exact"/>
        <w:ind w:firstLine="632" w:firstLineChars="200"/>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rPr>
        <w:t>（四）</w:t>
      </w:r>
      <w:r>
        <w:rPr>
          <w:rFonts w:hint="eastAsia" w:ascii="仿宋_GB2312" w:hAnsi="仿宋_GB2312" w:eastAsia="仿宋_GB2312" w:cs="仿宋_GB2312"/>
          <w:color w:val="auto"/>
          <w:sz w:val="32"/>
          <w:szCs w:val="32"/>
          <w:u w:val="none"/>
          <w:lang w:eastAsia="zh-CN"/>
        </w:rPr>
        <w:t>合作</w:t>
      </w:r>
      <w:r>
        <w:rPr>
          <w:rFonts w:hint="eastAsia" w:ascii="仿宋_GB2312" w:hAnsi="仿宋_GB2312" w:eastAsia="仿宋_GB2312" w:cs="仿宋_GB2312"/>
          <w:color w:val="auto"/>
          <w:sz w:val="32"/>
          <w:szCs w:val="32"/>
          <w:u w:val="none"/>
          <w:lang w:val="en-US" w:eastAsia="zh-CN"/>
        </w:rPr>
        <w:t>经营收入、资产处置与租赁收入、公共服务管理费、附属单位上缴收入、接受现金捐赠、赞助等。</w:t>
      </w:r>
    </w:p>
    <w:p>
      <w:pPr>
        <w:keepNext w:val="0"/>
        <w:keepLines w:val="0"/>
        <w:pageBreakBefore w:val="0"/>
        <w:widowControl/>
        <w:kinsoku/>
        <w:wordWrap/>
        <w:overflowPunct/>
        <w:topLinePunct w:val="0"/>
        <w:autoSpaceDE/>
        <w:autoSpaceDN/>
        <w:bidi w:val="0"/>
        <w:adjustRightInd/>
        <w:spacing w:line="560" w:lineRule="exact"/>
        <w:ind w:firstLine="635" w:firstLineChars="200"/>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b/>
          <w:bCs/>
          <w:color w:val="auto"/>
          <w:sz w:val="32"/>
          <w:szCs w:val="32"/>
          <w:u w:val="none"/>
          <w:lang w:val="en-US" w:eastAsia="zh-CN"/>
        </w:rPr>
        <w:t>第六条</w:t>
      </w:r>
      <w:r>
        <w:rPr>
          <w:rFonts w:hint="eastAsia" w:ascii="仿宋_GB2312" w:hAnsi="仿宋_GB2312" w:eastAsia="仿宋_GB2312" w:cs="仿宋_GB2312"/>
          <w:color w:val="auto"/>
          <w:sz w:val="32"/>
          <w:szCs w:val="32"/>
          <w:u w:val="none"/>
          <w:lang w:val="en-US" w:eastAsia="zh-CN"/>
        </w:rPr>
        <w:t xml:space="preserve"> 二级学院收入来源</w:t>
      </w:r>
    </w:p>
    <w:p>
      <w:pPr>
        <w:pStyle w:val="2"/>
        <w:keepNext w:val="0"/>
        <w:keepLines w:val="0"/>
        <w:pageBreakBefore w:val="0"/>
        <w:kinsoku/>
        <w:wordWrap/>
        <w:overflowPunct/>
        <w:topLinePunct w:val="0"/>
        <w:autoSpaceDE/>
        <w:autoSpaceDN/>
        <w:bidi w:val="0"/>
        <w:adjustRightInd/>
        <w:spacing w:line="560" w:lineRule="exact"/>
        <w:ind w:firstLine="632" w:firstLineChars="200"/>
        <w:textAlignment w:val="auto"/>
        <w:rPr>
          <w:rFonts w:hint="eastAsia" w:ascii="楷体_GB2312" w:hAnsi="楷体_GB2312" w:eastAsia="楷体_GB2312" w:cs="楷体_GB2312"/>
          <w:b w:val="0"/>
          <w:bCs w:val="0"/>
          <w:color w:val="auto"/>
          <w:lang w:val="en-US" w:eastAsia="zh-CN"/>
        </w:rPr>
      </w:pPr>
      <w:r>
        <w:rPr>
          <w:rFonts w:hint="eastAsia" w:ascii="楷体_GB2312" w:hAnsi="楷体_GB2312" w:eastAsia="楷体_GB2312" w:cs="楷体_GB2312"/>
          <w:b w:val="0"/>
          <w:bCs w:val="0"/>
          <w:color w:val="auto"/>
          <w:sz w:val="32"/>
          <w:szCs w:val="32"/>
          <w:u w:val="none"/>
          <w:lang w:val="en-US" w:eastAsia="zh-CN"/>
        </w:rPr>
        <w:t>（一）包干经费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32"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1.教学运行经费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32" w:firstLineChars="200"/>
        <w:jc w:val="both"/>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按在籍学生人数÷建制班（50人）×36周×26课时/周×42元/课时核拨经费。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32" w:firstLineChars="200"/>
        <w:jc w:val="both"/>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教学运行经费可用于教学管理人员和教师办公费、差旅费、培训费、月度奖励性绩效、超课时费等日常教学运行开支。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32"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2.学生管理经费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32" w:firstLineChars="200"/>
        <w:jc w:val="both"/>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按在籍学生人数×30元/生×9个月核拨经费。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32" w:firstLineChars="200"/>
        <w:jc w:val="both"/>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学生管理经费可用于学管人员办公费、差旅费、培训费、班主任费、下班辅导费、卫生工具费、学生活动经费等日常学生管理开支。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32"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3.实训耗材费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32" w:firstLineChars="200"/>
        <w:jc w:val="both"/>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按工科类专业100元/生/年，非工科类专业50元/生/年核拨经费。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32" w:firstLineChars="200"/>
        <w:jc w:val="both"/>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实训耗材费用于按照人才培养方案必须实施的校内实训教学用耗材和技能竞赛耗材的采购，由二级学院报计划，实训中心统筹，教务处审核后报采购部门采购。</w:t>
      </w:r>
    </w:p>
    <w:p>
      <w:pPr>
        <w:keepNext w:val="0"/>
        <w:keepLines w:val="0"/>
        <w:pageBreakBefore w:val="0"/>
        <w:widowControl w:val="0"/>
        <w:kinsoku/>
        <w:wordWrap/>
        <w:overflowPunct/>
        <w:topLinePunct w:val="0"/>
        <w:autoSpaceDE/>
        <w:autoSpaceDN/>
        <w:bidi w:val="0"/>
        <w:adjustRightInd/>
        <w:snapToGrid/>
        <w:spacing w:line="560" w:lineRule="exact"/>
        <w:ind w:leftChars="0" w:firstLine="632" w:firstLineChars="200"/>
        <w:jc w:val="both"/>
        <w:textAlignment w:val="auto"/>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（二）创收收入分成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32" w:firstLineChars="200"/>
        <w:jc w:val="both"/>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创收收入是指二级学院通过开展校企合作、社会服务、社会培训、技能等级认定（面向二级学院学生的培训与认定以及由二级学院联系或实施的社会培训与认定）、继续教育、企业赞助、捐赠、开放实训室等取得的各类收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32" w:firstLineChars="200"/>
        <w:jc w:val="both"/>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二级学院创收收入（现金到账收入）的70%由学院统筹使用，30%由二级学院自行支配使用，用于教学运行、学生管理及发放奖励性绩效。创收收入结余部分可以跨年度使用。</w:t>
      </w:r>
    </w:p>
    <w:p>
      <w:pPr>
        <w:keepNext w:val="0"/>
        <w:keepLines w:val="0"/>
        <w:pageBreakBefore w:val="0"/>
        <w:widowControl w:val="0"/>
        <w:kinsoku/>
        <w:wordWrap/>
        <w:overflowPunct/>
        <w:topLinePunct w:val="0"/>
        <w:autoSpaceDE/>
        <w:autoSpaceDN/>
        <w:bidi w:val="0"/>
        <w:adjustRightInd/>
        <w:snapToGrid/>
        <w:spacing w:line="560" w:lineRule="exact"/>
        <w:ind w:leftChars="0" w:firstLine="632" w:firstLineChars="200"/>
        <w:jc w:val="both"/>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Cs/>
          <w:color w:val="auto"/>
          <w:sz w:val="32"/>
          <w:szCs w:val="32"/>
          <w:lang w:val="en-US" w:eastAsia="zh-CN"/>
        </w:rPr>
        <w:t>乡村振兴学院以2023年预算执行数为基数，给予三年过渡期。在过渡期内，其预算收入与预算支出的差额部分由学校按90%进行补差。</w:t>
      </w:r>
    </w:p>
    <w:p>
      <w:pPr>
        <w:keepNext w:val="0"/>
        <w:keepLines w:val="0"/>
        <w:pageBreakBefore w:val="0"/>
        <w:widowControl w:val="0"/>
        <w:kinsoku/>
        <w:wordWrap/>
        <w:overflowPunct/>
        <w:topLinePunct w:val="0"/>
        <w:autoSpaceDE/>
        <w:autoSpaceDN/>
        <w:bidi w:val="0"/>
        <w:adjustRightInd/>
        <w:snapToGrid/>
        <w:spacing w:line="560" w:lineRule="exact"/>
        <w:ind w:leftChars="0" w:firstLine="632" w:firstLineChars="200"/>
        <w:jc w:val="both"/>
        <w:textAlignment w:val="auto"/>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（三）项目建设专项经费</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i w:val="0"/>
          <w:iCs w:val="0"/>
          <w:color w:val="auto"/>
          <w:kern w:val="0"/>
          <w:sz w:val="32"/>
          <w:szCs w:val="32"/>
          <w:u w:val="none"/>
          <w:lang w:val="en-US" w:eastAsia="zh-CN"/>
        </w:rPr>
      </w:pPr>
      <w:r>
        <w:rPr>
          <w:rFonts w:hint="eastAsia" w:ascii="仿宋_GB2312" w:hAnsi="仿宋_GB2312" w:eastAsia="仿宋_GB2312" w:cs="仿宋_GB2312"/>
          <w:i w:val="0"/>
          <w:iCs w:val="0"/>
          <w:color w:val="auto"/>
          <w:kern w:val="0"/>
          <w:sz w:val="32"/>
          <w:szCs w:val="32"/>
          <w:u w:val="none"/>
          <w:lang w:val="en-US" w:eastAsia="zh-CN"/>
        </w:rPr>
        <w:t>专项收入是指二级学院提出立项申请，由学院党委或上级主管部门审批立项的项目建设专项收入。主要包括：</w:t>
      </w:r>
      <w:r>
        <w:rPr>
          <w:rFonts w:hint="eastAsia" w:ascii="仿宋_GB2312" w:hAnsi="仿宋_GB2312" w:eastAsia="仿宋_GB2312" w:cs="仿宋_GB2312"/>
          <w:bCs/>
          <w:i w:val="0"/>
          <w:iCs w:val="0"/>
          <w:color w:val="auto"/>
          <w:sz w:val="32"/>
          <w:szCs w:val="32"/>
          <w:u w:val="none"/>
        </w:rPr>
        <w:t>中央、省</w:t>
      </w:r>
      <w:r>
        <w:rPr>
          <w:rFonts w:hint="eastAsia" w:ascii="仿宋_GB2312" w:hAnsi="仿宋_GB2312" w:eastAsia="仿宋_GB2312" w:cs="仿宋_GB2312"/>
          <w:bCs/>
          <w:i w:val="0"/>
          <w:iCs w:val="0"/>
          <w:color w:val="auto"/>
          <w:sz w:val="32"/>
          <w:szCs w:val="32"/>
          <w:u w:val="none"/>
          <w:lang w:eastAsia="zh-CN"/>
        </w:rPr>
        <w:t>、</w:t>
      </w:r>
      <w:r>
        <w:rPr>
          <w:rFonts w:hint="eastAsia" w:ascii="仿宋_GB2312" w:hAnsi="仿宋_GB2312" w:eastAsia="仿宋_GB2312" w:cs="仿宋_GB2312"/>
          <w:bCs/>
          <w:i w:val="0"/>
          <w:iCs w:val="0"/>
          <w:color w:val="auto"/>
          <w:sz w:val="32"/>
          <w:szCs w:val="32"/>
          <w:u w:val="none"/>
        </w:rPr>
        <w:t>市财政支持专项、</w:t>
      </w:r>
      <w:r>
        <w:rPr>
          <w:rFonts w:hint="eastAsia" w:ascii="仿宋_GB2312" w:hAnsi="仿宋_GB2312" w:eastAsia="仿宋_GB2312" w:cs="仿宋_GB2312"/>
          <w:bCs/>
          <w:i w:val="0"/>
          <w:iCs w:val="0"/>
          <w:color w:val="auto"/>
          <w:sz w:val="32"/>
          <w:szCs w:val="32"/>
          <w:u w:val="none"/>
          <w:lang w:eastAsia="zh-CN"/>
        </w:rPr>
        <w:t>基础能力</w:t>
      </w:r>
      <w:r>
        <w:rPr>
          <w:rFonts w:hint="eastAsia" w:ascii="仿宋_GB2312" w:hAnsi="仿宋_GB2312" w:eastAsia="仿宋_GB2312" w:cs="仿宋_GB2312"/>
          <w:bCs/>
          <w:i w:val="0"/>
          <w:iCs w:val="0"/>
          <w:color w:val="auto"/>
          <w:sz w:val="32"/>
          <w:szCs w:val="32"/>
          <w:u w:val="none"/>
        </w:rPr>
        <w:t>建设专项、</w:t>
      </w:r>
      <w:r>
        <w:rPr>
          <w:rFonts w:hint="eastAsia" w:ascii="仿宋_GB2312" w:hAnsi="仿宋_GB2312" w:eastAsia="仿宋_GB2312" w:cs="仿宋_GB2312"/>
          <w:bCs/>
          <w:i w:val="0"/>
          <w:iCs w:val="0"/>
          <w:color w:val="auto"/>
          <w:sz w:val="32"/>
          <w:szCs w:val="32"/>
          <w:u w:val="none"/>
          <w:lang w:eastAsia="zh-CN"/>
        </w:rPr>
        <w:t>优质专业</w:t>
      </w:r>
      <w:r>
        <w:rPr>
          <w:rFonts w:hint="eastAsia" w:ascii="仿宋_GB2312" w:hAnsi="仿宋_GB2312" w:eastAsia="仿宋_GB2312" w:cs="仿宋_GB2312"/>
          <w:bCs/>
          <w:i w:val="0"/>
          <w:iCs w:val="0"/>
          <w:color w:val="auto"/>
          <w:sz w:val="32"/>
          <w:szCs w:val="32"/>
          <w:u w:val="none"/>
        </w:rPr>
        <w:t>建设专项</w:t>
      </w:r>
      <w:r>
        <w:rPr>
          <w:rFonts w:hint="eastAsia" w:ascii="仿宋_GB2312" w:hAnsi="仿宋_GB2312" w:eastAsia="仿宋_GB2312" w:cs="仿宋_GB2312"/>
          <w:bCs/>
          <w:i w:val="0"/>
          <w:iCs w:val="0"/>
          <w:color w:val="auto"/>
          <w:sz w:val="32"/>
          <w:szCs w:val="32"/>
          <w:u w:val="none"/>
          <w:lang w:eastAsia="zh-CN"/>
        </w:rPr>
        <w:t>、科研项目专</w:t>
      </w:r>
      <w:r>
        <w:rPr>
          <w:rFonts w:hint="eastAsia" w:ascii="仿宋_GB2312" w:hAnsi="仿宋_GB2312" w:eastAsia="仿宋_GB2312" w:cs="仿宋_GB2312"/>
          <w:bCs/>
          <w:color w:val="auto"/>
          <w:sz w:val="32"/>
          <w:szCs w:val="32"/>
          <w:u w:val="none"/>
          <w:lang w:eastAsia="zh-CN"/>
        </w:rPr>
        <w:t>项</w:t>
      </w:r>
      <w:r>
        <w:rPr>
          <w:rFonts w:hint="eastAsia" w:ascii="仿宋_GB2312" w:hAnsi="仿宋_GB2312" w:eastAsia="仿宋_GB2312" w:cs="仿宋_GB2312"/>
          <w:bCs/>
          <w:color w:val="auto"/>
          <w:sz w:val="32"/>
          <w:szCs w:val="32"/>
          <w:u w:val="none"/>
        </w:rPr>
        <w:t>等</w:t>
      </w:r>
      <w:r>
        <w:rPr>
          <w:rFonts w:hint="eastAsia" w:ascii="仿宋_GB2312" w:hAnsi="仿宋_GB2312" w:eastAsia="仿宋_GB2312" w:cs="仿宋_GB2312"/>
          <w:bCs/>
          <w:color w:val="auto"/>
          <w:sz w:val="32"/>
          <w:szCs w:val="32"/>
          <w:u w:val="none"/>
          <w:lang w:eastAsia="zh-CN"/>
        </w:rPr>
        <w:t>。专项收入</w:t>
      </w:r>
      <w:r>
        <w:rPr>
          <w:rFonts w:hint="eastAsia" w:ascii="仿宋_GB2312" w:hAnsi="仿宋_GB2312" w:eastAsia="仿宋_GB2312" w:cs="仿宋_GB2312"/>
          <w:bCs/>
          <w:color w:val="auto"/>
          <w:sz w:val="32"/>
          <w:szCs w:val="32"/>
          <w:u w:val="none"/>
        </w:rPr>
        <w:t>到</w:t>
      </w:r>
      <w:r>
        <w:rPr>
          <w:rFonts w:hint="eastAsia" w:ascii="仿宋_GB2312" w:hAnsi="仿宋_GB2312" w:eastAsia="仿宋_GB2312" w:cs="仿宋_GB2312"/>
          <w:bCs/>
          <w:color w:val="auto"/>
          <w:sz w:val="32"/>
          <w:szCs w:val="32"/>
          <w:u w:val="none"/>
          <w:lang w:eastAsia="zh-CN"/>
        </w:rPr>
        <w:t>账</w:t>
      </w:r>
      <w:r>
        <w:rPr>
          <w:rFonts w:hint="eastAsia" w:ascii="仿宋_GB2312" w:hAnsi="仿宋_GB2312" w:eastAsia="仿宋_GB2312" w:cs="仿宋_GB2312"/>
          <w:bCs/>
          <w:color w:val="auto"/>
          <w:sz w:val="32"/>
          <w:szCs w:val="32"/>
          <w:u w:val="none"/>
        </w:rPr>
        <w:t>后，</w:t>
      </w:r>
      <w:r>
        <w:rPr>
          <w:rFonts w:hint="eastAsia" w:ascii="仿宋_GB2312" w:hAnsi="仿宋_GB2312" w:eastAsia="仿宋_GB2312" w:cs="仿宋_GB2312"/>
          <w:bCs/>
          <w:color w:val="auto"/>
          <w:sz w:val="32"/>
          <w:szCs w:val="32"/>
          <w:u w:val="none"/>
          <w:lang w:eastAsia="zh-CN"/>
        </w:rPr>
        <w:t>计划财务处通过追加二级学院预算指标</w:t>
      </w:r>
      <w:r>
        <w:rPr>
          <w:rFonts w:hint="eastAsia" w:ascii="仿宋_GB2312" w:hAnsi="仿宋_GB2312" w:eastAsia="仿宋_GB2312" w:cs="仿宋_GB2312"/>
          <w:bCs/>
          <w:color w:val="auto"/>
          <w:sz w:val="32"/>
          <w:szCs w:val="32"/>
          <w:u w:val="none"/>
        </w:rPr>
        <w:t>执行</w:t>
      </w:r>
      <w:r>
        <w:rPr>
          <w:rFonts w:hint="eastAsia" w:ascii="仿宋_GB2312" w:hAnsi="仿宋_GB2312" w:eastAsia="仿宋_GB2312" w:cs="仿宋_GB2312"/>
          <w:bCs/>
          <w:color w:val="auto"/>
          <w:sz w:val="32"/>
          <w:szCs w:val="32"/>
          <w:u w:val="none"/>
          <w:lang w:eastAsia="zh-CN"/>
        </w:rPr>
        <w:t>，</w:t>
      </w:r>
      <w:r>
        <w:rPr>
          <w:rFonts w:hint="eastAsia" w:ascii="仿宋_GB2312" w:hAnsi="仿宋_GB2312" w:eastAsia="仿宋_GB2312" w:cs="仿宋_GB2312"/>
          <w:bCs/>
          <w:color w:val="auto"/>
          <w:sz w:val="32"/>
          <w:szCs w:val="32"/>
          <w:u w:val="none"/>
        </w:rPr>
        <w:t>执行过程中如涉及招标</w:t>
      </w:r>
      <w:r>
        <w:rPr>
          <w:rFonts w:hint="eastAsia" w:ascii="仿宋_GB2312" w:hAnsi="仿宋_GB2312" w:eastAsia="仿宋_GB2312" w:cs="仿宋_GB2312"/>
          <w:bCs/>
          <w:color w:val="auto"/>
          <w:sz w:val="32"/>
          <w:szCs w:val="32"/>
          <w:u w:val="none"/>
          <w:lang w:eastAsia="zh-CN"/>
        </w:rPr>
        <w:t>、</w:t>
      </w:r>
      <w:r>
        <w:rPr>
          <w:rFonts w:hint="eastAsia" w:ascii="仿宋_GB2312" w:hAnsi="仿宋_GB2312" w:eastAsia="仿宋_GB2312" w:cs="仿宋_GB2312"/>
          <w:bCs/>
          <w:color w:val="auto"/>
          <w:sz w:val="32"/>
          <w:szCs w:val="32"/>
          <w:u w:val="none"/>
        </w:rPr>
        <w:t>验收</w:t>
      </w:r>
      <w:r>
        <w:rPr>
          <w:rFonts w:hint="eastAsia" w:ascii="仿宋_GB2312" w:hAnsi="仿宋_GB2312" w:eastAsia="仿宋_GB2312" w:cs="仿宋_GB2312"/>
          <w:bCs/>
          <w:color w:val="auto"/>
          <w:sz w:val="32"/>
          <w:szCs w:val="32"/>
          <w:u w:val="none"/>
          <w:lang w:eastAsia="zh-CN"/>
        </w:rPr>
        <w:t>、评审</w:t>
      </w:r>
      <w:r>
        <w:rPr>
          <w:rFonts w:hint="eastAsia" w:ascii="仿宋_GB2312" w:hAnsi="仿宋_GB2312" w:eastAsia="仿宋_GB2312" w:cs="仿宋_GB2312"/>
          <w:bCs/>
          <w:color w:val="auto"/>
          <w:sz w:val="32"/>
          <w:szCs w:val="32"/>
          <w:u w:val="none"/>
        </w:rPr>
        <w:t>等工作，</w:t>
      </w:r>
      <w:r>
        <w:rPr>
          <w:rFonts w:hint="eastAsia" w:ascii="仿宋_GB2312" w:hAnsi="仿宋_GB2312" w:eastAsia="仿宋_GB2312" w:cs="仿宋_GB2312"/>
          <w:bCs/>
          <w:color w:val="auto"/>
          <w:sz w:val="32"/>
          <w:szCs w:val="32"/>
          <w:u w:val="none"/>
          <w:lang w:eastAsia="zh-CN"/>
        </w:rPr>
        <w:t>按照相关制度执行</w:t>
      </w:r>
      <w:r>
        <w:rPr>
          <w:rFonts w:hint="eastAsia" w:ascii="仿宋_GB2312" w:hAnsi="仿宋_GB2312" w:eastAsia="仿宋_GB2312" w:cs="仿宋_GB2312"/>
          <w:color w:val="auto"/>
          <w:spacing w:val="-4"/>
          <w:sz w:val="32"/>
          <w:szCs w:val="32"/>
          <w:u w:val="none"/>
          <w:lang w:eastAsia="zh-CN"/>
        </w:rPr>
        <w:t>。跨部门</w:t>
      </w:r>
      <w:r>
        <w:rPr>
          <w:rFonts w:hint="eastAsia" w:ascii="仿宋_GB2312" w:hAnsi="仿宋_GB2312" w:eastAsia="仿宋_GB2312" w:cs="仿宋_GB2312"/>
          <w:i w:val="0"/>
          <w:iCs w:val="0"/>
          <w:color w:val="auto"/>
          <w:kern w:val="0"/>
          <w:sz w:val="32"/>
          <w:szCs w:val="32"/>
          <w:u w:val="none"/>
          <w:lang w:val="en-US" w:eastAsia="zh-CN"/>
        </w:rPr>
        <w:t>项目建设专项收入由发展规划处统筹管理。</w:t>
      </w:r>
    </w:p>
    <w:p>
      <w:pPr>
        <w:pStyle w:val="2"/>
        <w:keepNext w:val="0"/>
        <w:keepLines w:val="0"/>
        <w:pageBreakBefore w:val="0"/>
        <w:kinsoku/>
        <w:wordWrap/>
        <w:overflowPunct/>
        <w:topLinePunct w:val="0"/>
        <w:bidi w:val="0"/>
        <w:spacing w:line="560" w:lineRule="exact"/>
        <w:ind w:firstLine="624"/>
        <w:textAlignment w:val="auto"/>
        <w:rPr>
          <w:rFonts w:hint="eastAsia" w:ascii="仿宋_GB2312" w:hAnsi="仿宋_GB2312" w:eastAsia="仿宋_GB2312" w:cs="仿宋_GB2312"/>
          <w:i w:val="0"/>
          <w:iC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olor w:val="auto"/>
          <w:spacing w:val="0"/>
          <w:kern w:val="0"/>
          <w:sz w:val="32"/>
          <w:szCs w:val="32"/>
          <w:shd w:val="clear" w:fill="FFFFFF"/>
          <w:lang w:val="en-US" w:eastAsia="zh-CN" w:bidi="ar"/>
        </w:rPr>
        <w:t>专项收入的开支范围应严格执行项目主管部门和学校的相</w:t>
      </w:r>
    </w:p>
    <w:p>
      <w:pPr>
        <w:keepNext w:val="0"/>
        <w:keepLines w:val="0"/>
        <w:pageBreakBefore w:val="0"/>
        <w:kinsoku/>
        <w:wordWrap/>
        <w:overflowPunct/>
        <w:topLinePunct w:val="0"/>
        <w:bidi w:val="0"/>
        <w:spacing w:line="560" w:lineRule="exact"/>
        <w:textAlignment w:val="auto"/>
        <w:rPr>
          <w:rFonts w:hint="default"/>
          <w:lang w:val="en-US" w:eastAsia="zh-CN"/>
        </w:rPr>
      </w:pPr>
      <w:r>
        <w:rPr>
          <w:rFonts w:hint="eastAsia" w:ascii="仿宋_GB2312" w:hAnsi="仿宋_GB2312" w:eastAsia="仿宋_GB2312" w:cs="仿宋_GB2312"/>
          <w:i w:val="0"/>
          <w:iCs w:val="0"/>
          <w:color w:val="auto"/>
          <w:spacing w:val="0"/>
          <w:kern w:val="0"/>
          <w:sz w:val="32"/>
          <w:szCs w:val="32"/>
          <w:shd w:val="clear" w:fill="FFFFFF"/>
          <w:lang w:val="en-US" w:eastAsia="zh-CN" w:bidi="ar"/>
        </w:rPr>
        <w:t>关制度规定，专款专用，不得挪作他用或列支与项目无关的支出，</w:t>
      </w:r>
    </w:p>
    <w:p>
      <w:pPr>
        <w:keepNext w:val="0"/>
        <w:keepLines w:val="0"/>
        <w:pageBreakBefore w:val="0"/>
        <w:widowControl/>
        <w:kinsoku/>
        <w:wordWrap/>
        <w:overflowPunct/>
        <w:topLinePunct w:val="0"/>
        <w:bidi w:val="0"/>
        <w:spacing w:line="560" w:lineRule="exact"/>
        <w:textAlignment w:val="auto"/>
        <w:rPr>
          <w:rFonts w:hint="eastAsia" w:ascii="仿宋_GB2312" w:hAnsi="仿宋_GB2312" w:eastAsia="仿宋_GB2312" w:cs="仿宋_GB2312"/>
          <w:i w:val="0"/>
          <w:iCs w:val="0"/>
          <w:color w:val="auto"/>
          <w:kern w:val="0"/>
          <w:sz w:val="32"/>
          <w:szCs w:val="32"/>
          <w:u w:val="none"/>
          <w:lang w:val="en-US" w:eastAsia="zh-CN"/>
        </w:rPr>
      </w:pPr>
      <w:r>
        <w:rPr>
          <w:rFonts w:hint="eastAsia" w:ascii="仿宋_GB2312" w:hAnsi="仿宋_GB2312" w:eastAsia="仿宋_GB2312" w:cs="仿宋_GB2312"/>
          <w:i w:val="0"/>
          <w:iCs w:val="0"/>
          <w:color w:val="auto"/>
          <w:spacing w:val="0"/>
          <w:kern w:val="0"/>
          <w:sz w:val="32"/>
          <w:szCs w:val="32"/>
          <w:shd w:val="clear" w:fill="FFFFFF"/>
          <w:lang w:val="en-US" w:eastAsia="zh-CN" w:bidi="ar"/>
        </w:rPr>
        <w:t>并确保按期实施，提高专项资金的使用效益。</w:t>
      </w:r>
    </w:p>
    <w:p>
      <w:pPr>
        <w:keepNext w:val="0"/>
        <w:keepLines w:val="0"/>
        <w:pageBreakBefore w:val="0"/>
        <w:widowControl/>
        <w:kinsoku/>
        <w:wordWrap/>
        <w:overflowPunct/>
        <w:topLinePunct w:val="0"/>
        <w:autoSpaceDE/>
        <w:autoSpaceDN/>
        <w:bidi w:val="0"/>
        <w:adjustRightInd/>
        <w:snapToGrid/>
        <w:spacing w:before="157" w:beforeLines="50" w:after="157" w:afterLines="50" w:line="560" w:lineRule="exact"/>
        <w:jc w:val="center"/>
        <w:textAlignment w:val="auto"/>
        <w:rPr>
          <w:rFonts w:hint="eastAsia" w:ascii="黑体" w:hAnsi="黑体" w:eastAsia="黑体" w:cs="黑体"/>
          <w:b w:val="0"/>
          <w:bCs w:val="0"/>
          <w:color w:val="auto"/>
          <w:sz w:val="32"/>
          <w:szCs w:val="32"/>
          <w:u w:val="none"/>
          <w:lang w:val="en-US" w:eastAsia="zh-CN"/>
        </w:rPr>
      </w:pPr>
      <w:r>
        <w:rPr>
          <w:rFonts w:hint="eastAsia" w:ascii="黑体" w:hAnsi="黑体" w:eastAsia="黑体" w:cs="黑体"/>
          <w:b w:val="0"/>
          <w:bCs w:val="0"/>
          <w:color w:val="auto"/>
          <w:sz w:val="32"/>
          <w:szCs w:val="32"/>
          <w:u w:val="none"/>
          <w:lang w:eastAsia="zh-CN"/>
        </w:rPr>
        <w:t>第四章</w:t>
      </w:r>
      <w:r>
        <w:rPr>
          <w:rFonts w:hint="eastAsia" w:ascii="黑体" w:hAnsi="黑体" w:eastAsia="黑体" w:cs="黑体"/>
          <w:b w:val="0"/>
          <w:bCs w:val="0"/>
          <w:color w:val="auto"/>
          <w:sz w:val="32"/>
          <w:szCs w:val="32"/>
          <w:u w:val="none"/>
          <w:lang w:val="en-US" w:eastAsia="zh-CN"/>
        </w:rPr>
        <w:t xml:space="preserve">  校院两级</w:t>
      </w:r>
      <w:r>
        <w:rPr>
          <w:rFonts w:hint="eastAsia" w:ascii="黑体" w:hAnsi="黑体" w:eastAsia="黑体" w:cs="黑体"/>
          <w:b w:val="0"/>
          <w:bCs w:val="0"/>
          <w:color w:val="auto"/>
          <w:sz w:val="32"/>
          <w:szCs w:val="32"/>
          <w:u w:val="none"/>
          <w:lang w:eastAsia="zh-CN"/>
        </w:rPr>
        <w:t>预算</w:t>
      </w:r>
      <w:r>
        <w:rPr>
          <w:rFonts w:hint="eastAsia" w:ascii="黑体" w:hAnsi="黑体" w:eastAsia="黑体" w:cs="黑体"/>
          <w:b w:val="0"/>
          <w:bCs w:val="0"/>
          <w:color w:val="auto"/>
          <w:sz w:val="32"/>
          <w:szCs w:val="32"/>
          <w:u w:val="none"/>
          <w:lang w:val="en-US" w:eastAsia="zh-CN"/>
        </w:rPr>
        <w:t>经费保障范围</w:t>
      </w:r>
    </w:p>
    <w:p>
      <w:pPr>
        <w:keepNext w:val="0"/>
        <w:keepLines w:val="0"/>
        <w:pageBreakBefore w:val="0"/>
        <w:widowControl/>
        <w:kinsoku/>
        <w:wordWrap/>
        <w:overflowPunct/>
        <w:topLinePunct w:val="0"/>
        <w:bidi w:val="0"/>
        <w:spacing w:line="560" w:lineRule="exact"/>
        <w:ind w:firstLine="635" w:firstLineChars="200"/>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b/>
          <w:bCs/>
          <w:color w:val="auto"/>
          <w:sz w:val="32"/>
          <w:szCs w:val="32"/>
          <w:u w:val="none"/>
        </w:rPr>
        <w:t>第</w:t>
      </w:r>
      <w:r>
        <w:rPr>
          <w:rFonts w:hint="eastAsia" w:ascii="仿宋_GB2312" w:hAnsi="仿宋_GB2312" w:eastAsia="仿宋_GB2312" w:cs="仿宋_GB2312"/>
          <w:b/>
          <w:bCs/>
          <w:color w:val="auto"/>
          <w:sz w:val="32"/>
          <w:szCs w:val="32"/>
          <w:u w:val="none"/>
          <w:lang w:val="en-US" w:eastAsia="zh-CN"/>
        </w:rPr>
        <w:t>七</w:t>
      </w:r>
      <w:r>
        <w:rPr>
          <w:rFonts w:hint="eastAsia" w:ascii="仿宋_GB2312" w:hAnsi="仿宋_GB2312" w:eastAsia="仿宋_GB2312" w:cs="仿宋_GB2312"/>
          <w:b/>
          <w:bCs/>
          <w:color w:val="auto"/>
          <w:sz w:val="32"/>
          <w:szCs w:val="32"/>
          <w:u w:val="none"/>
        </w:rPr>
        <w:t>条</w:t>
      </w:r>
      <w:r>
        <w:rPr>
          <w:rFonts w:hint="eastAsia" w:ascii="仿宋_GB2312" w:hAnsi="仿宋_GB2312" w:eastAsia="仿宋_GB2312" w:cs="仿宋_GB2312"/>
          <w:color w:val="auto"/>
          <w:sz w:val="32"/>
          <w:szCs w:val="32"/>
          <w:u w:val="none"/>
        </w:rPr>
        <w:t xml:space="preserve"> </w:t>
      </w:r>
      <w:r>
        <w:rPr>
          <w:rFonts w:hint="eastAsia" w:ascii="仿宋_GB2312" w:hAnsi="仿宋_GB2312" w:eastAsia="仿宋_GB2312" w:cs="仿宋_GB2312"/>
          <w:color w:val="auto"/>
          <w:sz w:val="32"/>
          <w:szCs w:val="32"/>
          <w:u w:val="none"/>
          <w:lang w:eastAsia="zh-CN"/>
        </w:rPr>
        <w:t>学校</w:t>
      </w:r>
      <w:r>
        <w:rPr>
          <w:rFonts w:hint="eastAsia" w:ascii="仿宋_GB2312" w:hAnsi="仿宋_GB2312" w:eastAsia="仿宋_GB2312" w:cs="仿宋_GB2312"/>
          <w:color w:val="auto"/>
          <w:sz w:val="32"/>
          <w:szCs w:val="32"/>
          <w:u w:val="none"/>
          <w:lang w:val="en-US" w:eastAsia="zh-CN"/>
        </w:rPr>
        <w:t>经费保障范围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32" w:firstLineChars="200"/>
        <w:jc w:val="both"/>
        <w:textAlignment w:val="auto"/>
        <w:rPr>
          <w:rFonts w:hint="eastAsia" w:ascii="仿宋_GB2312" w:hAnsi="仿宋_GB2312" w:eastAsia="仿宋_GB2312" w:cs="仿宋_GB2312"/>
          <w:bCs/>
          <w:color w:val="auto"/>
          <w:sz w:val="32"/>
          <w:szCs w:val="32"/>
          <w:lang w:val="en-US" w:eastAsia="zh-CN"/>
        </w:rPr>
      </w:pPr>
      <w:r>
        <w:rPr>
          <w:rFonts w:hint="eastAsia" w:ascii="楷体_GB2312" w:hAnsi="楷体_GB2312" w:eastAsia="楷体_GB2312" w:cs="楷体_GB2312"/>
          <w:color w:val="auto"/>
          <w:sz w:val="32"/>
          <w:szCs w:val="32"/>
          <w:u w:val="none"/>
        </w:rPr>
        <w:t>（一）</w:t>
      </w:r>
      <w:r>
        <w:rPr>
          <w:rFonts w:hint="eastAsia" w:ascii="楷体_GB2312" w:hAnsi="楷体_GB2312" w:eastAsia="楷体_GB2312" w:cs="楷体_GB2312"/>
          <w:color w:val="auto"/>
          <w:sz w:val="32"/>
          <w:szCs w:val="32"/>
          <w:u w:val="none"/>
          <w:lang w:val="en-US" w:eastAsia="zh-CN"/>
        </w:rPr>
        <w:t>工资及福利支出</w:t>
      </w:r>
      <w:r>
        <w:rPr>
          <w:rFonts w:hint="eastAsia" w:ascii="楷体_GB2312" w:hAnsi="楷体_GB2312" w:eastAsia="楷体_GB2312" w:cs="楷体_GB2312"/>
          <w:color w:val="auto"/>
          <w:sz w:val="32"/>
          <w:szCs w:val="32"/>
          <w:u w:val="none"/>
          <w:lang w:eastAsia="zh-CN"/>
        </w:rPr>
        <w:t>。</w:t>
      </w:r>
      <w:r>
        <w:rPr>
          <w:rFonts w:hint="eastAsia" w:ascii="仿宋_GB2312" w:hAnsi="仿宋_GB2312" w:eastAsia="仿宋_GB2312" w:cs="仿宋_GB2312"/>
          <w:bCs/>
          <w:color w:val="auto"/>
          <w:sz w:val="32"/>
          <w:szCs w:val="32"/>
          <w:lang w:val="en-US" w:eastAsia="zh-CN"/>
        </w:rPr>
        <w:t>党政管理机构、教辅机构、职业培训学院、继续教育学院教职员工基本工资（岗位工资、薪级工资）、基础性绩效工资、津补贴、月度奖励性绩效、年度考核奖、目标管理考核奖等人员经费开支和养老保险、医疗保障、住房公积金、生育保险、失业保险、工伤保险等社会保险及工会经费、教工工作餐等福利支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32" w:firstLineChars="200"/>
        <w:jc w:val="both"/>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二级学院教职员工基本工资（岗位工资、薪级工资）、基础性绩效工资、津补贴、年度考核奖、目标管理考核奖等人员经费开支和养老保险、医疗保障、住房公积金、生育保险、失业保险、工伤保险等社会保险及工会经费、教工工作餐等福利支出。</w:t>
      </w:r>
    </w:p>
    <w:p>
      <w:pPr>
        <w:keepNext w:val="0"/>
        <w:keepLines w:val="0"/>
        <w:pageBreakBefore w:val="0"/>
        <w:widowControl w:val="0"/>
        <w:kinsoku/>
        <w:wordWrap/>
        <w:overflowPunct/>
        <w:topLinePunct w:val="0"/>
        <w:autoSpaceDE/>
        <w:autoSpaceDN/>
        <w:bidi w:val="0"/>
        <w:adjustRightInd/>
        <w:snapToGrid/>
        <w:spacing w:line="560" w:lineRule="exact"/>
        <w:ind w:leftChars="0" w:firstLine="632" w:firstLineChars="200"/>
        <w:jc w:val="both"/>
        <w:textAlignment w:val="auto"/>
        <w:rPr>
          <w:rFonts w:hint="eastAsia" w:ascii="仿宋_GB2312" w:hAnsi="仿宋_GB2312" w:eastAsia="仿宋_GB2312" w:cs="仿宋_GB2312"/>
          <w:color w:val="auto"/>
          <w:lang w:eastAsia="zh-CN"/>
        </w:rPr>
      </w:pPr>
      <w:r>
        <w:rPr>
          <w:rFonts w:hint="eastAsia" w:ascii="仿宋_GB2312" w:hAnsi="仿宋_GB2312" w:eastAsia="仿宋_GB2312" w:cs="仿宋_GB2312"/>
          <w:color w:val="auto"/>
          <w:sz w:val="32"/>
          <w:szCs w:val="32"/>
          <w:lang w:val="en-US" w:eastAsia="zh-CN"/>
        </w:rPr>
        <w:t>经学校批准的</w:t>
      </w:r>
      <w:r>
        <w:rPr>
          <w:rFonts w:hint="eastAsia" w:ascii="仿宋_GB2312" w:hAnsi="仿宋_GB2312" w:eastAsia="仿宋_GB2312" w:cs="仿宋_GB2312"/>
          <w:color w:val="auto"/>
          <w:sz w:val="32"/>
          <w:szCs w:val="32"/>
        </w:rPr>
        <w:t>援藏、援疆、</w:t>
      </w:r>
      <w:r>
        <w:rPr>
          <w:rFonts w:hint="eastAsia" w:ascii="仿宋_GB2312" w:hAnsi="仿宋_GB2312" w:eastAsia="仿宋_GB2312" w:cs="仿宋_GB2312"/>
          <w:color w:val="auto"/>
          <w:sz w:val="32"/>
          <w:szCs w:val="32"/>
          <w:lang w:val="en-US" w:eastAsia="zh-CN"/>
        </w:rPr>
        <w:t>乡村振兴</w:t>
      </w:r>
      <w:r>
        <w:rPr>
          <w:rFonts w:hint="eastAsia" w:ascii="仿宋_GB2312" w:hAnsi="仿宋_GB2312" w:eastAsia="仿宋_GB2312" w:cs="仿宋_GB2312"/>
          <w:color w:val="auto"/>
          <w:sz w:val="32"/>
          <w:szCs w:val="32"/>
        </w:rPr>
        <w:t>、挂职锻炼</w:t>
      </w:r>
      <w:r>
        <w:rPr>
          <w:rFonts w:hint="eastAsia" w:ascii="仿宋_GB2312" w:hAnsi="仿宋_GB2312" w:eastAsia="仿宋_GB2312" w:cs="仿宋_GB2312"/>
          <w:color w:val="auto"/>
          <w:sz w:val="32"/>
          <w:szCs w:val="32"/>
          <w:lang w:val="en-US" w:eastAsia="zh-CN"/>
        </w:rPr>
        <w:t>等</w:t>
      </w:r>
      <w:r>
        <w:rPr>
          <w:rFonts w:hint="eastAsia" w:ascii="仿宋_GB2312" w:hAnsi="仿宋_GB2312" w:eastAsia="仿宋_GB2312" w:cs="仿宋_GB2312"/>
          <w:color w:val="auto"/>
          <w:sz w:val="32"/>
          <w:szCs w:val="32"/>
        </w:rPr>
        <w:t>人员</w:t>
      </w:r>
      <w:r>
        <w:rPr>
          <w:rFonts w:hint="eastAsia" w:ascii="仿宋_GB2312" w:hAnsi="仿宋_GB2312" w:eastAsia="仿宋_GB2312" w:cs="仿宋_GB2312"/>
          <w:color w:val="auto"/>
          <w:sz w:val="32"/>
          <w:szCs w:val="32"/>
          <w:lang w:val="en-US" w:eastAsia="zh-CN"/>
        </w:rPr>
        <w:t>经费</w:t>
      </w:r>
      <w:r>
        <w:rPr>
          <w:rFonts w:hint="eastAsia" w:ascii="仿宋_GB2312" w:hAnsi="仿宋_GB2312" w:eastAsia="仿宋_GB2312" w:cs="仿宋_GB2312"/>
          <w:color w:val="auto"/>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color w:val="auto"/>
          <w:sz w:val="32"/>
          <w:szCs w:val="32"/>
          <w:u w:val="none"/>
          <w:lang w:eastAsia="zh-CN"/>
        </w:rPr>
      </w:pPr>
      <w:r>
        <w:rPr>
          <w:rFonts w:hint="eastAsia" w:ascii="楷体_GB2312" w:hAnsi="楷体_GB2312" w:eastAsia="楷体_GB2312" w:cs="楷体_GB2312"/>
          <w:color w:val="auto"/>
          <w:sz w:val="32"/>
          <w:szCs w:val="32"/>
          <w:u w:val="none"/>
          <w:lang w:eastAsia="zh-CN"/>
        </w:rPr>
        <w:t>（二）行政职能部门和学校党、团、群等团体日常运行经费和专项工作经费。</w:t>
      </w:r>
      <w:r>
        <w:rPr>
          <w:rFonts w:hint="eastAsia" w:ascii="仿宋_GB2312" w:hAnsi="仿宋_GB2312" w:eastAsia="仿宋_GB2312" w:cs="仿宋_GB2312"/>
          <w:color w:val="auto"/>
          <w:sz w:val="32"/>
          <w:szCs w:val="32"/>
          <w:u w:val="none"/>
          <w:lang w:eastAsia="zh-CN"/>
        </w:rPr>
        <w:t>包括：学校行政职能部门</w:t>
      </w:r>
      <w:r>
        <w:rPr>
          <w:rFonts w:hint="eastAsia" w:ascii="仿宋_GB2312" w:hAnsi="仿宋_GB2312" w:eastAsia="仿宋_GB2312" w:cs="仿宋_GB2312"/>
          <w:color w:val="auto"/>
          <w:sz w:val="32"/>
          <w:szCs w:val="32"/>
          <w:u w:val="none"/>
        </w:rPr>
        <w:t>的日常运行和专项工作经费；</w:t>
      </w:r>
      <w:r>
        <w:rPr>
          <w:rFonts w:hint="eastAsia" w:ascii="仿宋_GB2312" w:hAnsi="仿宋_GB2312" w:eastAsia="仿宋_GB2312" w:cs="仿宋_GB2312"/>
          <w:color w:val="auto"/>
          <w:sz w:val="32"/>
          <w:szCs w:val="32"/>
          <w:u w:val="none"/>
          <w:lang w:val="en-US" w:eastAsia="zh-CN"/>
        </w:rPr>
        <w:t>学校</w:t>
      </w:r>
      <w:r>
        <w:rPr>
          <w:rFonts w:hint="eastAsia" w:ascii="仿宋_GB2312" w:hAnsi="仿宋_GB2312" w:eastAsia="仿宋_GB2312" w:cs="仿宋_GB2312"/>
          <w:color w:val="auto"/>
          <w:sz w:val="32"/>
          <w:szCs w:val="32"/>
          <w:u w:val="none"/>
          <w:lang w:eastAsia="zh-CN"/>
        </w:rPr>
        <w:t>党建经费、</w:t>
      </w:r>
      <w:r>
        <w:rPr>
          <w:rFonts w:hint="eastAsia" w:ascii="仿宋_GB2312" w:hAnsi="仿宋_GB2312" w:eastAsia="仿宋_GB2312" w:cs="仿宋_GB2312"/>
          <w:color w:val="auto"/>
          <w:sz w:val="32"/>
          <w:szCs w:val="32"/>
          <w:u w:val="none"/>
          <w:lang w:val="en-US" w:eastAsia="zh-CN"/>
        </w:rPr>
        <w:t>学校团委活动经费、</w:t>
      </w:r>
      <w:r>
        <w:rPr>
          <w:rFonts w:hint="eastAsia" w:ascii="仿宋_GB2312" w:hAnsi="仿宋_GB2312" w:eastAsia="仿宋_GB2312" w:cs="仿宋_GB2312"/>
          <w:color w:val="auto"/>
          <w:sz w:val="32"/>
          <w:szCs w:val="32"/>
          <w:u w:val="none"/>
        </w:rPr>
        <w:t>工会经费</w:t>
      </w:r>
      <w:r>
        <w:rPr>
          <w:rFonts w:hint="eastAsia" w:ascii="仿宋_GB2312" w:hAnsi="仿宋_GB2312" w:eastAsia="仿宋_GB2312" w:cs="仿宋_GB2312"/>
          <w:color w:val="auto"/>
          <w:sz w:val="32"/>
          <w:szCs w:val="32"/>
          <w:u w:val="none"/>
          <w:lang w:eastAsia="zh-CN"/>
        </w:rPr>
        <w:t>等。</w:t>
      </w:r>
    </w:p>
    <w:p>
      <w:pPr>
        <w:keepNext w:val="0"/>
        <w:keepLines w:val="0"/>
        <w:pageBreakBefore w:val="0"/>
        <w:widowControl/>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color w:val="auto"/>
          <w:sz w:val="32"/>
          <w:szCs w:val="32"/>
          <w:u w:val="none"/>
          <w:lang w:eastAsia="zh-CN"/>
        </w:rPr>
      </w:pPr>
      <w:r>
        <w:rPr>
          <w:rFonts w:hint="eastAsia" w:ascii="楷体_GB2312" w:hAnsi="楷体_GB2312" w:eastAsia="楷体_GB2312" w:cs="楷体_GB2312"/>
          <w:color w:val="auto"/>
          <w:sz w:val="32"/>
          <w:szCs w:val="32"/>
          <w:u w:val="none"/>
        </w:rPr>
        <w:t>（</w:t>
      </w:r>
      <w:r>
        <w:rPr>
          <w:rFonts w:hint="eastAsia" w:ascii="楷体_GB2312" w:hAnsi="楷体_GB2312" w:eastAsia="楷体_GB2312" w:cs="楷体_GB2312"/>
          <w:color w:val="auto"/>
          <w:sz w:val="32"/>
          <w:szCs w:val="32"/>
          <w:u w:val="none"/>
          <w:lang w:eastAsia="zh-CN"/>
        </w:rPr>
        <w:t>三</w:t>
      </w:r>
      <w:r>
        <w:rPr>
          <w:rFonts w:hint="eastAsia" w:ascii="楷体_GB2312" w:hAnsi="楷体_GB2312" w:eastAsia="楷体_GB2312" w:cs="楷体_GB2312"/>
          <w:color w:val="auto"/>
          <w:sz w:val="32"/>
          <w:szCs w:val="32"/>
          <w:u w:val="none"/>
        </w:rPr>
        <w:t>）</w:t>
      </w:r>
      <w:r>
        <w:rPr>
          <w:rFonts w:hint="eastAsia" w:ascii="楷体_GB2312" w:hAnsi="楷体_GB2312" w:eastAsia="楷体_GB2312" w:cs="楷体_GB2312"/>
          <w:color w:val="auto"/>
          <w:sz w:val="32"/>
          <w:szCs w:val="32"/>
          <w:u w:val="none"/>
          <w:lang w:eastAsia="zh-CN"/>
        </w:rPr>
        <w:t>后勤保障经费。</w:t>
      </w:r>
      <w:r>
        <w:rPr>
          <w:rFonts w:hint="eastAsia" w:ascii="仿宋_GB2312" w:hAnsi="仿宋_GB2312" w:eastAsia="仿宋_GB2312" w:cs="仿宋_GB2312"/>
          <w:color w:val="auto"/>
          <w:sz w:val="32"/>
          <w:szCs w:val="32"/>
          <w:u w:val="none"/>
          <w:lang w:eastAsia="zh-CN"/>
        </w:rPr>
        <w:t>包括校本部及</w:t>
      </w:r>
      <w:r>
        <w:rPr>
          <w:rFonts w:hint="eastAsia" w:ascii="仿宋_GB2312" w:hAnsi="仿宋_GB2312" w:eastAsia="仿宋_GB2312" w:cs="仿宋_GB2312"/>
          <w:color w:val="auto"/>
          <w:sz w:val="32"/>
          <w:szCs w:val="32"/>
          <w:u w:val="none"/>
          <w:lang w:val="en-US" w:eastAsia="zh-CN"/>
        </w:rPr>
        <w:t>电气工程学院下列费用</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水电、物业管理、</w:t>
      </w:r>
      <w:r>
        <w:rPr>
          <w:rFonts w:hint="eastAsia" w:ascii="仿宋_GB2312" w:hAnsi="仿宋_GB2312" w:eastAsia="仿宋_GB2312" w:cs="仿宋_GB2312"/>
          <w:color w:val="auto"/>
          <w:sz w:val="32"/>
          <w:szCs w:val="32"/>
          <w:u w:val="none"/>
          <w:lang w:val="en-US" w:eastAsia="zh-CN"/>
        </w:rPr>
        <w:t>安保消防、</w:t>
      </w:r>
      <w:r>
        <w:rPr>
          <w:rFonts w:hint="eastAsia" w:ascii="仿宋_GB2312" w:hAnsi="仿宋_GB2312" w:eastAsia="仿宋_GB2312" w:cs="仿宋_GB2312"/>
          <w:color w:val="auto"/>
          <w:sz w:val="32"/>
          <w:szCs w:val="32"/>
          <w:u w:val="none"/>
        </w:rPr>
        <w:t>公共设施维修、房屋修缮、通勤车运行</w:t>
      </w:r>
      <w:r>
        <w:rPr>
          <w:rFonts w:hint="eastAsia" w:ascii="仿宋_GB2312" w:hAnsi="仿宋_GB2312" w:eastAsia="仿宋_GB2312" w:cs="仿宋_GB2312"/>
          <w:color w:val="auto"/>
          <w:sz w:val="32"/>
          <w:szCs w:val="32"/>
          <w:u w:val="none"/>
          <w:lang w:eastAsia="zh-CN"/>
        </w:rPr>
        <w:t>、智慧校园</w:t>
      </w:r>
      <w:r>
        <w:rPr>
          <w:rFonts w:hint="eastAsia" w:ascii="仿宋_GB2312" w:hAnsi="仿宋_GB2312" w:eastAsia="仿宋_GB2312" w:cs="仿宋_GB2312"/>
          <w:color w:val="auto"/>
          <w:sz w:val="32"/>
          <w:szCs w:val="32"/>
          <w:u w:val="none"/>
        </w:rPr>
        <w:t>等</w:t>
      </w:r>
      <w:r>
        <w:rPr>
          <w:rFonts w:hint="eastAsia" w:ascii="仿宋_GB2312" w:hAnsi="仿宋_GB2312" w:eastAsia="仿宋_GB2312" w:cs="仿宋_GB2312"/>
          <w:color w:val="auto"/>
          <w:sz w:val="32"/>
          <w:szCs w:val="32"/>
          <w:u w:val="none"/>
          <w:lang w:eastAsia="zh-CN"/>
        </w:rPr>
        <w:t>保障经费。</w:t>
      </w:r>
    </w:p>
    <w:p>
      <w:pPr>
        <w:pStyle w:val="2"/>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i w:val="0"/>
          <w:iCs w:val="0"/>
          <w:color w:val="auto"/>
          <w:spacing w:val="0"/>
          <w:sz w:val="32"/>
          <w:szCs w:val="32"/>
        </w:rPr>
      </w:pPr>
      <w:r>
        <w:rPr>
          <w:rFonts w:hint="eastAsia" w:ascii="楷体_GB2312" w:hAnsi="楷体_GB2312" w:eastAsia="楷体_GB2312" w:cs="楷体_GB2312"/>
          <w:i w:val="0"/>
          <w:iCs w:val="0"/>
          <w:color w:val="auto"/>
          <w:spacing w:val="0"/>
          <w:kern w:val="0"/>
          <w:sz w:val="32"/>
          <w:szCs w:val="32"/>
          <w:shd w:val="clear" w:fill="FFFFFF"/>
          <w:lang w:val="en-US" w:eastAsia="zh-CN" w:bidi="ar"/>
        </w:rPr>
        <w:t>（四）由学校承担的学生管理与学生活动经费。</w:t>
      </w:r>
      <w:r>
        <w:rPr>
          <w:rFonts w:hint="eastAsia" w:ascii="仿宋_GB2312" w:hAnsi="仿宋_GB2312" w:eastAsia="仿宋_GB2312" w:cs="仿宋_GB2312"/>
          <w:i w:val="0"/>
          <w:iCs w:val="0"/>
          <w:color w:val="auto"/>
          <w:spacing w:val="0"/>
          <w:kern w:val="0"/>
          <w:sz w:val="32"/>
          <w:szCs w:val="32"/>
          <w:shd w:val="clear" w:fill="FFFFFF"/>
          <w:lang w:val="en-US" w:eastAsia="zh-CN" w:bidi="ar"/>
        </w:rPr>
        <w:t>包括：</w:t>
      </w:r>
      <w:r>
        <w:rPr>
          <w:rFonts w:hint="eastAsia" w:ascii="仿宋_GB2312" w:hAnsi="仿宋_GB2312" w:eastAsia="仿宋_GB2312" w:cs="仿宋_GB2312"/>
          <w:color w:val="auto"/>
          <w:sz w:val="32"/>
          <w:szCs w:val="32"/>
          <w:u w:val="none"/>
        </w:rPr>
        <w:t>学生奖助学金、</w:t>
      </w:r>
      <w:r>
        <w:rPr>
          <w:rFonts w:hint="eastAsia" w:ascii="仿宋_GB2312" w:hAnsi="仿宋_GB2312" w:eastAsia="仿宋_GB2312" w:cs="仿宋_GB2312"/>
          <w:i w:val="0"/>
          <w:color w:val="auto"/>
          <w:spacing w:val="0"/>
          <w:sz w:val="32"/>
          <w:szCs w:val="32"/>
          <w:shd w:val="clear" w:fill="FFFFFF"/>
          <w:lang w:val="en-US" w:eastAsia="zh-CN" w:bidi="ar"/>
        </w:rPr>
        <w:t>招生、迎新、军训、学生保险、创新创业</w:t>
      </w:r>
      <w:r>
        <w:rPr>
          <w:rFonts w:hint="eastAsia" w:ascii="仿宋_GB2312" w:hAnsi="仿宋_GB2312" w:eastAsia="仿宋_GB2312" w:cs="仿宋_GB2312"/>
          <w:i w:val="0"/>
          <w:color w:val="auto"/>
          <w:spacing w:val="0"/>
          <w:sz w:val="32"/>
          <w:szCs w:val="32"/>
          <w:u w:val="none"/>
          <w:shd w:val="clear" w:fill="FFFFFF"/>
          <w:lang w:val="en-US" w:eastAsia="zh-CN" w:bidi="ar"/>
        </w:rPr>
        <w:t>及实习、就业</w:t>
      </w:r>
      <w:r>
        <w:rPr>
          <w:rFonts w:hint="eastAsia" w:ascii="仿宋_GB2312" w:hAnsi="仿宋_GB2312" w:eastAsia="仿宋_GB2312" w:cs="仿宋_GB2312"/>
          <w:i w:val="0"/>
          <w:iCs w:val="0"/>
          <w:color w:val="auto"/>
          <w:spacing w:val="0"/>
          <w:kern w:val="0"/>
          <w:sz w:val="32"/>
          <w:szCs w:val="32"/>
          <w:shd w:val="clear" w:fill="FFFFFF"/>
          <w:lang w:val="en-US" w:eastAsia="zh-CN" w:bidi="ar"/>
        </w:rPr>
        <w:t>经费。</w:t>
      </w:r>
    </w:p>
    <w:p>
      <w:pPr>
        <w:keepNext w:val="0"/>
        <w:keepLines w:val="0"/>
        <w:pageBreakBefore w:val="0"/>
        <w:widowControl/>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color w:val="auto"/>
          <w:sz w:val="32"/>
          <w:szCs w:val="32"/>
          <w:u w:val="none"/>
          <w:lang w:eastAsia="zh-CN"/>
        </w:rPr>
      </w:pPr>
      <w:r>
        <w:rPr>
          <w:rFonts w:hint="eastAsia" w:ascii="楷体_GB2312" w:hAnsi="楷体_GB2312" w:eastAsia="楷体_GB2312" w:cs="楷体_GB2312"/>
          <w:color w:val="auto"/>
          <w:sz w:val="32"/>
          <w:szCs w:val="32"/>
          <w:u w:val="none"/>
        </w:rPr>
        <w:t>（</w:t>
      </w:r>
      <w:r>
        <w:rPr>
          <w:rFonts w:hint="eastAsia" w:ascii="楷体_GB2312" w:hAnsi="楷体_GB2312" w:eastAsia="楷体_GB2312" w:cs="楷体_GB2312"/>
          <w:color w:val="auto"/>
          <w:sz w:val="32"/>
          <w:szCs w:val="32"/>
          <w:u w:val="none"/>
          <w:lang w:eastAsia="zh-CN"/>
        </w:rPr>
        <w:t>五</w:t>
      </w:r>
      <w:r>
        <w:rPr>
          <w:rFonts w:hint="eastAsia" w:ascii="楷体_GB2312" w:hAnsi="楷体_GB2312" w:eastAsia="楷体_GB2312" w:cs="楷体_GB2312"/>
          <w:color w:val="auto"/>
          <w:sz w:val="32"/>
          <w:szCs w:val="32"/>
          <w:u w:val="none"/>
        </w:rPr>
        <w:t>）</w:t>
      </w:r>
      <w:r>
        <w:rPr>
          <w:rFonts w:hint="eastAsia" w:ascii="楷体_GB2312" w:hAnsi="楷体_GB2312" w:eastAsia="楷体_GB2312" w:cs="楷体_GB2312"/>
          <w:color w:val="auto"/>
          <w:sz w:val="32"/>
          <w:szCs w:val="32"/>
          <w:u w:val="none"/>
          <w:lang w:eastAsia="zh-CN"/>
        </w:rPr>
        <w:t>由学校承担的专项工作经费。</w:t>
      </w:r>
      <w:r>
        <w:rPr>
          <w:rFonts w:hint="eastAsia" w:ascii="仿宋_GB2312" w:hAnsi="仿宋_GB2312" w:eastAsia="仿宋_GB2312" w:cs="仿宋_GB2312"/>
          <w:color w:val="auto"/>
          <w:sz w:val="32"/>
          <w:szCs w:val="32"/>
          <w:u w:val="none"/>
          <w:lang w:eastAsia="zh-CN"/>
        </w:rPr>
        <w:t>包括：</w:t>
      </w:r>
      <w:r>
        <w:rPr>
          <w:rFonts w:hint="eastAsia" w:ascii="仿宋_GB2312" w:hAnsi="仿宋_GB2312" w:eastAsia="仿宋_GB2312" w:cs="仿宋_GB2312"/>
          <w:color w:val="auto"/>
          <w:sz w:val="32"/>
          <w:szCs w:val="32"/>
          <w:u w:val="none"/>
        </w:rPr>
        <w:t>图书购置、人才引进、</w:t>
      </w:r>
      <w:r>
        <w:rPr>
          <w:rFonts w:hint="eastAsia" w:ascii="仿宋_GB2312" w:hAnsi="仿宋_GB2312" w:eastAsia="仿宋_GB2312" w:cs="仿宋_GB2312"/>
          <w:color w:val="auto"/>
          <w:sz w:val="32"/>
          <w:szCs w:val="32"/>
          <w:u w:val="none"/>
          <w:lang w:eastAsia="zh-CN"/>
        </w:rPr>
        <w:t>教研教改</w:t>
      </w: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val="en-US" w:eastAsia="zh-CN"/>
        </w:rPr>
        <w:t>省级及以上技能竞赛</w:t>
      </w:r>
      <w:r>
        <w:rPr>
          <w:rFonts w:hint="eastAsia" w:ascii="仿宋_GB2312" w:hAnsi="仿宋_GB2312" w:eastAsia="仿宋_GB2312" w:cs="仿宋_GB2312"/>
          <w:color w:val="auto"/>
          <w:sz w:val="32"/>
          <w:szCs w:val="32"/>
          <w:u w:val="none"/>
          <w:lang w:eastAsia="zh-CN"/>
        </w:rPr>
        <w:t>等</w:t>
      </w:r>
      <w:r>
        <w:rPr>
          <w:rFonts w:hint="eastAsia" w:ascii="仿宋_GB2312" w:hAnsi="仿宋_GB2312" w:eastAsia="仿宋_GB2312" w:cs="仿宋_GB2312"/>
          <w:color w:val="auto"/>
          <w:sz w:val="32"/>
          <w:szCs w:val="32"/>
          <w:u w:val="none"/>
        </w:rPr>
        <w:t>经费</w:t>
      </w:r>
      <w:r>
        <w:rPr>
          <w:rFonts w:hint="eastAsia" w:ascii="仿宋_GB2312" w:hAnsi="仿宋_GB2312" w:eastAsia="仿宋_GB2312" w:cs="仿宋_GB2312"/>
          <w:color w:val="auto"/>
          <w:sz w:val="32"/>
          <w:szCs w:val="32"/>
          <w:u w:val="none"/>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color w:val="auto"/>
          <w:sz w:val="32"/>
          <w:szCs w:val="32"/>
          <w:u w:val="none"/>
          <w:lang w:eastAsia="zh-CN"/>
        </w:rPr>
      </w:pPr>
      <w:r>
        <w:rPr>
          <w:rFonts w:hint="eastAsia" w:ascii="楷体_GB2312" w:hAnsi="楷体_GB2312" w:eastAsia="楷体_GB2312" w:cs="楷体_GB2312"/>
          <w:color w:val="auto"/>
          <w:sz w:val="32"/>
          <w:szCs w:val="32"/>
          <w:u w:val="none"/>
        </w:rPr>
        <w:t>（</w:t>
      </w:r>
      <w:r>
        <w:rPr>
          <w:rFonts w:hint="eastAsia" w:ascii="楷体_GB2312" w:hAnsi="楷体_GB2312" w:eastAsia="楷体_GB2312" w:cs="楷体_GB2312"/>
          <w:color w:val="auto"/>
          <w:sz w:val="32"/>
          <w:szCs w:val="32"/>
          <w:u w:val="none"/>
          <w:lang w:eastAsia="zh-CN"/>
        </w:rPr>
        <w:t>六</w:t>
      </w:r>
      <w:r>
        <w:rPr>
          <w:rFonts w:hint="eastAsia" w:ascii="楷体_GB2312" w:hAnsi="楷体_GB2312" w:eastAsia="楷体_GB2312" w:cs="楷体_GB2312"/>
          <w:color w:val="auto"/>
          <w:sz w:val="32"/>
          <w:szCs w:val="32"/>
          <w:u w:val="none"/>
        </w:rPr>
        <w:t>）</w:t>
      </w:r>
      <w:r>
        <w:rPr>
          <w:rFonts w:hint="eastAsia" w:ascii="楷体_GB2312" w:hAnsi="楷体_GB2312" w:eastAsia="楷体_GB2312" w:cs="楷体_GB2312"/>
          <w:color w:val="auto"/>
          <w:sz w:val="32"/>
          <w:szCs w:val="32"/>
          <w:u w:val="none"/>
          <w:lang w:eastAsia="zh-CN"/>
        </w:rPr>
        <w:t>由学校承担的基础能力建设经费。</w:t>
      </w:r>
      <w:r>
        <w:rPr>
          <w:rFonts w:hint="eastAsia" w:ascii="仿宋_GB2312" w:hAnsi="仿宋_GB2312" w:eastAsia="仿宋_GB2312" w:cs="仿宋_GB2312"/>
          <w:color w:val="auto"/>
          <w:sz w:val="32"/>
          <w:szCs w:val="32"/>
          <w:u w:val="none"/>
          <w:lang w:eastAsia="zh-CN"/>
        </w:rPr>
        <w:t>包括：公共设施设备购置与</w:t>
      </w:r>
      <w:r>
        <w:rPr>
          <w:rFonts w:hint="eastAsia" w:ascii="仿宋_GB2312" w:hAnsi="仿宋_GB2312" w:eastAsia="仿宋_GB2312" w:cs="仿宋_GB2312"/>
          <w:color w:val="auto"/>
          <w:sz w:val="32"/>
          <w:szCs w:val="32"/>
          <w:u w:val="none"/>
        </w:rPr>
        <w:t>基本建设</w:t>
      </w:r>
      <w:r>
        <w:rPr>
          <w:rFonts w:hint="eastAsia" w:ascii="仿宋_GB2312" w:hAnsi="仿宋_GB2312" w:eastAsia="仿宋_GB2312" w:cs="仿宋_GB2312"/>
          <w:color w:val="auto"/>
          <w:sz w:val="32"/>
          <w:szCs w:val="32"/>
          <w:u w:val="none"/>
          <w:lang w:val="en-US" w:eastAsia="zh-CN"/>
        </w:rPr>
        <w:t>等资本性支出</w:t>
      </w:r>
      <w:r>
        <w:rPr>
          <w:rFonts w:hint="eastAsia" w:ascii="仿宋_GB2312" w:hAnsi="仿宋_GB2312" w:eastAsia="仿宋_GB2312" w:cs="仿宋_GB2312"/>
          <w:color w:val="auto"/>
          <w:sz w:val="32"/>
          <w:szCs w:val="32"/>
          <w:u w:val="none"/>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color w:val="auto"/>
          <w:sz w:val="32"/>
          <w:szCs w:val="32"/>
          <w:u w:val="none"/>
          <w:lang w:val="en-US" w:eastAsia="zh-CN"/>
        </w:rPr>
      </w:pPr>
      <w:r>
        <w:rPr>
          <w:rFonts w:hint="eastAsia" w:ascii="楷体_GB2312" w:hAnsi="楷体_GB2312" w:eastAsia="楷体_GB2312" w:cs="楷体_GB2312"/>
          <w:color w:val="auto"/>
          <w:sz w:val="32"/>
          <w:szCs w:val="32"/>
          <w:u w:val="none"/>
          <w:lang w:eastAsia="zh-CN"/>
        </w:rPr>
        <w:t>（</w:t>
      </w:r>
      <w:r>
        <w:rPr>
          <w:rFonts w:hint="eastAsia" w:ascii="楷体_GB2312" w:hAnsi="楷体_GB2312" w:eastAsia="楷体_GB2312" w:cs="楷体_GB2312"/>
          <w:color w:val="auto"/>
          <w:sz w:val="32"/>
          <w:szCs w:val="32"/>
          <w:u w:val="none"/>
          <w:lang w:val="en-US" w:eastAsia="zh-CN"/>
        </w:rPr>
        <w:t>七</w:t>
      </w:r>
      <w:r>
        <w:rPr>
          <w:rFonts w:hint="eastAsia" w:ascii="楷体_GB2312" w:hAnsi="楷体_GB2312" w:eastAsia="楷体_GB2312" w:cs="楷体_GB2312"/>
          <w:color w:val="auto"/>
          <w:sz w:val="32"/>
          <w:szCs w:val="32"/>
          <w:u w:val="none"/>
          <w:lang w:eastAsia="zh-CN"/>
        </w:rPr>
        <w:t>）</w:t>
      </w:r>
      <w:r>
        <w:rPr>
          <w:rFonts w:hint="eastAsia" w:ascii="楷体_GB2312" w:hAnsi="楷体_GB2312" w:eastAsia="楷体_GB2312" w:cs="楷体_GB2312"/>
          <w:color w:val="auto"/>
          <w:sz w:val="32"/>
          <w:szCs w:val="32"/>
          <w:u w:val="none"/>
          <w:lang w:val="en-US" w:eastAsia="zh-CN"/>
        </w:rPr>
        <w:t>劳务费支出。</w:t>
      </w:r>
      <w:r>
        <w:rPr>
          <w:rFonts w:hint="eastAsia" w:ascii="仿宋_GB2312" w:hAnsi="仿宋_GB2312" w:eastAsia="仿宋_GB2312" w:cs="仿宋_GB2312"/>
          <w:color w:val="auto"/>
          <w:sz w:val="32"/>
          <w:szCs w:val="32"/>
          <w:u w:val="none"/>
          <w:lang w:val="en-US" w:eastAsia="zh-CN"/>
        </w:rPr>
        <w:t>主要包括：根据劳务派遣合同约定及政策规定应支付给劳务派遣人员的基本工资、基础性绩效以及五险一金等支出。</w:t>
      </w:r>
    </w:p>
    <w:p>
      <w:pPr>
        <w:keepNext w:val="0"/>
        <w:keepLines w:val="0"/>
        <w:pageBreakBefore w:val="0"/>
        <w:widowControl/>
        <w:kinsoku/>
        <w:wordWrap/>
        <w:overflowPunct/>
        <w:topLinePunct w:val="0"/>
        <w:autoSpaceDE/>
        <w:autoSpaceDN/>
        <w:bidi w:val="0"/>
        <w:adjustRightInd/>
        <w:snapToGrid/>
        <w:spacing w:line="560" w:lineRule="exact"/>
        <w:ind w:firstLine="632" w:firstLineChars="200"/>
        <w:textAlignment w:val="auto"/>
        <w:rPr>
          <w:rFonts w:hint="eastAsia" w:ascii="楷体_GB2312" w:hAnsi="楷体_GB2312" w:eastAsia="楷体_GB2312" w:cs="楷体_GB2312"/>
          <w:color w:val="auto"/>
          <w:sz w:val="32"/>
          <w:szCs w:val="32"/>
          <w:u w:val="none"/>
          <w:lang w:eastAsia="zh-CN"/>
        </w:rPr>
      </w:pPr>
      <w:r>
        <w:rPr>
          <w:rFonts w:hint="eastAsia" w:ascii="楷体_GB2312" w:hAnsi="楷体_GB2312" w:eastAsia="楷体_GB2312" w:cs="楷体_GB2312"/>
          <w:color w:val="auto"/>
          <w:sz w:val="32"/>
          <w:szCs w:val="32"/>
          <w:u w:val="none"/>
        </w:rPr>
        <w:t>（</w:t>
      </w:r>
      <w:r>
        <w:rPr>
          <w:rFonts w:hint="eastAsia" w:ascii="楷体_GB2312" w:hAnsi="楷体_GB2312" w:eastAsia="楷体_GB2312" w:cs="楷体_GB2312"/>
          <w:color w:val="auto"/>
          <w:sz w:val="32"/>
          <w:szCs w:val="32"/>
          <w:u w:val="none"/>
          <w:lang w:val="en-US" w:eastAsia="zh-CN"/>
        </w:rPr>
        <w:t>八</w:t>
      </w:r>
      <w:r>
        <w:rPr>
          <w:rFonts w:hint="eastAsia" w:ascii="楷体_GB2312" w:hAnsi="楷体_GB2312" w:eastAsia="楷体_GB2312" w:cs="楷体_GB2312"/>
          <w:color w:val="auto"/>
          <w:sz w:val="32"/>
          <w:szCs w:val="32"/>
          <w:u w:val="none"/>
        </w:rPr>
        <w:t>）</w:t>
      </w:r>
      <w:r>
        <w:rPr>
          <w:rFonts w:hint="eastAsia" w:ascii="楷体_GB2312" w:hAnsi="楷体_GB2312" w:eastAsia="楷体_GB2312" w:cs="楷体_GB2312"/>
          <w:color w:val="auto"/>
          <w:sz w:val="32"/>
          <w:szCs w:val="32"/>
          <w:u w:val="none"/>
          <w:lang w:eastAsia="zh-CN"/>
        </w:rPr>
        <w:t>债务性融资利息支出。</w:t>
      </w:r>
    </w:p>
    <w:p>
      <w:pPr>
        <w:keepNext w:val="0"/>
        <w:keepLines w:val="0"/>
        <w:pageBreakBefore w:val="0"/>
        <w:widowControl/>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color w:val="auto"/>
          <w:sz w:val="32"/>
          <w:szCs w:val="32"/>
          <w:u w:val="none"/>
          <w:lang w:eastAsia="zh-CN"/>
        </w:rPr>
      </w:pPr>
      <w:r>
        <w:rPr>
          <w:rFonts w:hint="eastAsia" w:ascii="楷体_GB2312" w:hAnsi="楷体_GB2312" w:eastAsia="楷体_GB2312" w:cs="楷体_GB2312"/>
          <w:color w:val="auto"/>
          <w:sz w:val="32"/>
          <w:szCs w:val="32"/>
          <w:u w:val="none"/>
        </w:rPr>
        <w:t>（</w:t>
      </w:r>
      <w:r>
        <w:rPr>
          <w:rFonts w:hint="eastAsia" w:ascii="楷体_GB2312" w:hAnsi="楷体_GB2312" w:eastAsia="楷体_GB2312" w:cs="楷体_GB2312"/>
          <w:color w:val="auto"/>
          <w:sz w:val="32"/>
          <w:szCs w:val="32"/>
          <w:u w:val="none"/>
          <w:lang w:val="en-US" w:eastAsia="zh-CN"/>
        </w:rPr>
        <w:t>九</w:t>
      </w:r>
      <w:r>
        <w:rPr>
          <w:rFonts w:hint="eastAsia" w:ascii="楷体_GB2312" w:hAnsi="楷体_GB2312" w:eastAsia="楷体_GB2312" w:cs="楷体_GB2312"/>
          <w:color w:val="auto"/>
          <w:sz w:val="32"/>
          <w:szCs w:val="32"/>
          <w:u w:val="none"/>
        </w:rPr>
        <w:t>）其他按规定</w:t>
      </w:r>
      <w:r>
        <w:rPr>
          <w:rFonts w:hint="eastAsia" w:ascii="楷体_GB2312" w:hAnsi="楷体_GB2312" w:eastAsia="楷体_GB2312" w:cs="楷体_GB2312"/>
          <w:color w:val="auto"/>
          <w:sz w:val="32"/>
          <w:szCs w:val="32"/>
          <w:u w:val="none"/>
          <w:lang w:val="en-US" w:eastAsia="zh-CN"/>
        </w:rPr>
        <w:t>应由</w:t>
      </w:r>
      <w:r>
        <w:rPr>
          <w:rFonts w:hint="eastAsia" w:ascii="楷体_GB2312" w:hAnsi="楷体_GB2312" w:eastAsia="楷体_GB2312" w:cs="楷体_GB2312"/>
          <w:color w:val="auto"/>
          <w:sz w:val="32"/>
          <w:szCs w:val="32"/>
          <w:u w:val="none"/>
        </w:rPr>
        <w:t>学校</w:t>
      </w:r>
      <w:r>
        <w:rPr>
          <w:rFonts w:hint="eastAsia" w:ascii="楷体_GB2312" w:hAnsi="楷体_GB2312" w:eastAsia="楷体_GB2312" w:cs="楷体_GB2312"/>
          <w:color w:val="auto"/>
          <w:sz w:val="32"/>
          <w:szCs w:val="32"/>
          <w:u w:val="none"/>
          <w:lang w:val="en-US" w:eastAsia="zh-CN"/>
        </w:rPr>
        <w:t>承担</w:t>
      </w:r>
      <w:r>
        <w:rPr>
          <w:rFonts w:hint="eastAsia" w:ascii="楷体_GB2312" w:hAnsi="楷体_GB2312" w:eastAsia="楷体_GB2312" w:cs="楷体_GB2312"/>
          <w:color w:val="auto"/>
          <w:sz w:val="32"/>
          <w:szCs w:val="32"/>
          <w:u w:val="none"/>
        </w:rPr>
        <w:t>的经费。</w:t>
      </w:r>
      <w:r>
        <w:rPr>
          <w:rFonts w:hint="eastAsia" w:ascii="仿宋_GB2312" w:hAnsi="仿宋_GB2312" w:eastAsia="仿宋_GB2312" w:cs="仿宋_GB2312"/>
          <w:color w:val="auto"/>
          <w:sz w:val="32"/>
          <w:szCs w:val="32"/>
          <w:u w:val="none"/>
          <w:lang w:eastAsia="zh-CN"/>
        </w:rPr>
        <w:t>包括：税费、咨询费、诉讼费、绿化费、排污费、垃圾处理费等。</w:t>
      </w:r>
    </w:p>
    <w:p>
      <w:pPr>
        <w:keepNext w:val="0"/>
        <w:keepLines w:val="0"/>
        <w:pageBreakBefore w:val="0"/>
        <w:widowControl/>
        <w:kinsoku/>
        <w:wordWrap/>
        <w:overflowPunct/>
        <w:topLinePunct w:val="0"/>
        <w:autoSpaceDE/>
        <w:autoSpaceDN/>
        <w:bidi w:val="0"/>
        <w:adjustRightInd/>
        <w:snapToGrid/>
        <w:spacing w:line="560" w:lineRule="exact"/>
        <w:ind w:firstLine="635" w:firstLineChars="200"/>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b/>
          <w:bCs/>
          <w:color w:val="auto"/>
          <w:sz w:val="32"/>
          <w:szCs w:val="32"/>
          <w:u w:val="none"/>
        </w:rPr>
        <w:t>第</w:t>
      </w:r>
      <w:r>
        <w:rPr>
          <w:rFonts w:hint="eastAsia" w:ascii="仿宋_GB2312" w:hAnsi="仿宋_GB2312" w:eastAsia="仿宋_GB2312" w:cs="仿宋_GB2312"/>
          <w:b/>
          <w:bCs/>
          <w:color w:val="auto"/>
          <w:sz w:val="32"/>
          <w:szCs w:val="32"/>
          <w:u w:val="none"/>
          <w:lang w:val="en-US" w:eastAsia="zh-CN"/>
        </w:rPr>
        <w:t>八</w:t>
      </w:r>
      <w:r>
        <w:rPr>
          <w:rFonts w:hint="eastAsia" w:ascii="仿宋_GB2312" w:hAnsi="仿宋_GB2312" w:eastAsia="仿宋_GB2312" w:cs="仿宋_GB2312"/>
          <w:b/>
          <w:bCs/>
          <w:color w:val="auto"/>
          <w:sz w:val="32"/>
          <w:szCs w:val="32"/>
          <w:u w:val="none"/>
        </w:rPr>
        <w:t>条</w:t>
      </w:r>
      <w:r>
        <w:rPr>
          <w:rFonts w:hint="eastAsia" w:ascii="仿宋_GB2312" w:hAnsi="仿宋_GB2312" w:cs="仿宋_GB2312"/>
          <w:color w:val="auto"/>
          <w:sz w:val="32"/>
          <w:szCs w:val="32"/>
          <w:u w:val="none"/>
          <w:lang w:val="en-US" w:eastAsia="zh-CN"/>
        </w:rPr>
        <w:t xml:space="preserve"> </w:t>
      </w:r>
      <w:r>
        <w:rPr>
          <w:rFonts w:hint="eastAsia" w:ascii="仿宋_GB2312" w:hAnsi="仿宋_GB2312" w:eastAsia="仿宋_GB2312" w:cs="仿宋_GB2312"/>
          <w:color w:val="auto"/>
          <w:sz w:val="32"/>
          <w:szCs w:val="32"/>
          <w:u w:val="none"/>
          <w:lang w:eastAsia="zh-CN"/>
        </w:rPr>
        <w:t>二级学院</w:t>
      </w:r>
      <w:r>
        <w:rPr>
          <w:rFonts w:hint="eastAsia" w:ascii="仿宋_GB2312" w:hAnsi="仿宋_GB2312" w:eastAsia="仿宋_GB2312" w:cs="仿宋_GB2312"/>
          <w:color w:val="auto"/>
          <w:sz w:val="32"/>
          <w:szCs w:val="32"/>
          <w:u w:val="none"/>
          <w:lang w:val="en-US" w:eastAsia="zh-CN"/>
        </w:rPr>
        <w:t>经费保障范围</w:t>
      </w:r>
    </w:p>
    <w:p>
      <w:pPr>
        <w:keepNext w:val="0"/>
        <w:keepLines w:val="0"/>
        <w:pageBreakBefore w:val="0"/>
        <w:widowControl/>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b w:val="0"/>
          <w:bCs w:val="0"/>
          <w:color w:val="auto"/>
          <w:sz w:val="32"/>
          <w:szCs w:val="32"/>
          <w:u w:val="none"/>
          <w:lang w:val="en-US" w:eastAsia="zh-CN"/>
        </w:rPr>
      </w:pPr>
      <w:r>
        <w:rPr>
          <w:rFonts w:hint="eastAsia" w:ascii="楷体_GB2312" w:hAnsi="楷体_GB2312" w:eastAsia="楷体_GB2312" w:cs="楷体_GB2312"/>
          <w:b w:val="0"/>
          <w:bCs w:val="0"/>
          <w:color w:val="auto"/>
          <w:sz w:val="32"/>
          <w:szCs w:val="32"/>
          <w:u w:val="none"/>
        </w:rPr>
        <w:t>（</w:t>
      </w:r>
      <w:r>
        <w:rPr>
          <w:rFonts w:hint="eastAsia" w:ascii="楷体_GB2312" w:hAnsi="楷体_GB2312" w:eastAsia="楷体_GB2312" w:cs="楷体_GB2312"/>
          <w:b w:val="0"/>
          <w:bCs w:val="0"/>
          <w:color w:val="auto"/>
          <w:sz w:val="32"/>
          <w:szCs w:val="32"/>
          <w:u w:val="none"/>
          <w:lang w:val="en-US" w:eastAsia="zh-CN"/>
        </w:rPr>
        <w:t>一</w:t>
      </w:r>
      <w:r>
        <w:rPr>
          <w:rFonts w:hint="eastAsia" w:ascii="楷体_GB2312" w:hAnsi="楷体_GB2312" w:eastAsia="楷体_GB2312" w:cs="楷体_GB2312"/>
          <w:b w:val="0"/>
          <w:bCs w:val="0"/>
          <w:color w:val="auto"/>
          <w:sz w:val="32"/>
          <w:szCs w:val="32"/>
          <w:u w:val="none"/>
        </w:rPr>
        <w:t>）</w:t>
      </w:r>
      <w:r>
        <w:rPr>
          <w:rFonts w:hint="eastAsia" w:ascii="楷体_GB2312" w:hAnsi="楷体_GB2312" w:eastAsia="楷体_GB2312" w:cs="楷体_GB2312"/>
          <w:b w:val="0"/>
          <w:bCs w:val="0"/>
          <w:color w:val="auto"/>
          <w:sz w:val="32"/>
          <w:szCs w:val="32"/>
          <w:u w:val="none"/>
          <w:lang w:eastAsia="zh-CN"/>
        </w:rPr>
        <w:t>教学运行经费。</w:t>
      </w:r>
      <w:r>
        <w:rPr>
          <w:rFonts w:hint="eastAsia" w:ascii="仿宋_GB2312" w:hAnsi="仿宋_GB2312" w:eastAsia="仿宋_GB2312" w:cs="仿宋_GB2312"/>
          <w:b w:val="0"/>
          <w:bCs w:val="0"/>
          <w:color w:val="auto"/>
          <w:sz w:val="32"/>
          <w:szCs w:val="32"/>
          <w:u w:val="none"/>
          <w:lang w:val="en-US" w:eastAsia="zh-CN"/>
        </w:rPr>
        <w:t>包括：</w:t>
      </w:r>
      <w:r>
        <w:rPr>
          <w:rFonts w:hint="eastAsia" w:ascii="仿宋_GB2312" w:hAnsi="仿宋_GB2312" w:eastAsia="仿宋_GB2312" w:cs="仿宋_GB2312"/>
          <w:b w:val="0"/>
          <w:bCs w:val="0"/>
          <w:color w:val="auto"/>
          <w:sz w:val="32"/>
          <w:szCs w:val="32"/>
          <w:u w:val="none"/>
          <w:lang w:eastAsia="zh-CN"/>
        </w:rPr>
        <w:t>二级学院</w:t>
      </w:r>
      <w:r>
        <w:rPr>
          <w:rFonts w:hint="eastAsia" w:ascii="仿宋_GB2312" w:hAnsi="仿宋_GB2312" w:eastAsia="仿宋_GB2312" w:cs="仿宋_GB2312"/>
          <w:b w:val="0"/>
          <w:bCs w:val="0"/>
          <w:color w:val="auto"/>
          <w:sz w:val="32"/>
          <w:szCs w:val="32"/>
          <w:u w:val="none"/>
        </w:rPr>
        <w:t>教师及管理人员的办公</w:t>
      </w:r>
      <w:r>
        <w:rPr>
          <w:rFonts w:hint="eastAsia" w:ascii="仿宋_GB2312" w:hAnsi="仿宋_GB2312" w:eastAsia="仿宋_GB2312" w:cs="仿宋_GB2312"/>
          <w:b w:val="0"/>
          <w:bCs w:val="0"/>
          <w:color w:val="auto"/>
          <w:sz w:val="32"/>
          <w:szCs w:val="32"/>
          <w:u w:val="none"/>
          <w:lang w:val="en-US" w:eastAsia="zh-CN"/>
        </w:rPr>
        <w:t>费</w:t>
      </w:r>
      <w:r>
        <w:rPr>
          <w:rFonts w:hint="eastAsia" w:ascii="仿宋_GB2312" w:hAnsi="仿宋_GB2312" w:eastAsia="仿宋_GB2312" w:cs="仿宋_GB2312"/>
          <w:b w:val="0"/>
          <w:bCs w:val="0"/>
          <w:color w:val="auto"/>
          <w:sz w:val="32"/>
          <w:szCs w:val="32"/>
          <w:u w:val="none"/>
        </w:rPr>
        <w:t>、差旅</w:t>
      </w:r>
      <w:r>
        <w:rPr>
          <w:rFonts w:hint="eastAsia" w:ascii="仿宋_GB2312" w:hAnsi="仿宋_GB2312" w:eastAsia="仿宋_GB2312" w:cs="仿宋_GB2312"/>
          <w:b w:val="0"/>
          <w:bCs w:val="0"/>
          <w:color w:val="auto"/>
          <w:sz w:val="32"/>
          <w:szCs w:val="32"/>
          <w:u w:val="none"/>
          <w:lang w:val="en-US" w:eastAsia="zh-CN"/>
        </w:rPr>
        <w:t>费、</w:t>
      </w:r>
      <w:r>
        <w:rPr>
          <w:rFonts w:hint="eastAsia" w:ascii="仿宋_GB2312" w:hAnsi="仿宋_GB2312" w:eastAsia="仿宋_GB2312" w:cs="仿宋_GB2312"/>
          <w:b w:val="0"/>
          <w:bCs w:val="0"/>
          <w:color w:val="auto"/>
          <w:sz w:val="32"/>
          <w:szCs w:val="32"/>
          <w:u w:val="none"/>
        </w:rPr>
        <w:t>进修培训等</w:t>
      </w:r>
      <w:r>
        <w:rPr>
          <w:rFonts w:hint="eastAsia" w:ascii="仿宋_GB2312" w:hAnsi="仿宋_GB2312" w:eastAsia="仿宋_GB2312" w:cs="仿宋_GB2312"/>
          <w:b w:val="0"/>
          <w:bCs w:val="0"/>
          <w:color w:val="auto"/>
          <w:sz w:val="32"/>
          <w:szCs w:val="32"/>
          <w:u w:val="none"/>
          <w:lang w:val="en-US" w:eastAsia="zh-CN"/>
        </w:rPr>
        <w:t>经</w:t>
      </w:r>
      <w:r>
        <w:rPr>
          <w:rFonts w:hint="eastAsia" w:ascii="仿宋_GB2312" w:hAnsi="仿宋_GB2312" w:eastAsia="仿宋_GB2312" w:cs="仿宋_GB2312"/>
          <w:b w:val="0"/>
          <w:bCs w:val="0"/>
          <w:color w:val="auto"/>
          <w:sz w:val="32"/>
          <w:szCs w:val="32"/>
          <w:u w:val="none"/>
        </w:rPr>
        <w:t>费</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lang w:val="en-US" w:eastAsia="zh-CN"/>
        </w:rPr>
        <w:t>二级学院</w:t>
      </w:r>
      <w:r>
        <w:rPr>
          <w:rFonts w:hint="eastAsia" w:ascii="仿宋_GB2312" w:hAnsi="仿宋_GB2312" w:eastAsia="仿宋_GB2312" w:cs="仿宋_GB2312"/>
          <w:b w:val="0"/>
          <w:bCs w:val="0"/>
          <w:color w:val="auto"/>
          <w:sz w:val="32"/>
          <w:szCs w:val="32"/>
          <w:u w:val="none"/>
        </w:rPr>
        <w:t>教师及管理人员</w:t>
      </w:r>
      <w:r>
        <w:rPr>
          <w:rFonts w:hint="eastAsia" w:ascii="仿宋_GB2312" w:hAnsi="仿宋_GB2312" w:eastAsia="仿宋_GB2312" w:cs="仿宋_GB2312"/>
          <w:b w:val="0"/>
          <w:bCs w:val="0"/>
          <w:color w:val="auto"/>
          <w:sz w:val="32"/>
          <w:szCs w:val="32"/>
          <w:u w:val="none"/>
          <w:lang w:val="en-US" w:eastAsia="zh-CN"/>
        </w:rPr>
        <w:t>的月度奖励性绩效、本院教师课时费以及所聘请的校内外兼职教师课时费等人员经费；</w:t>
      </w:r>
      <w:r>
        <w:rPr>
          <w:rFonts w:hint="eastAsia" w:ascii="仿宋_GB2312" w:hAnsi="仿宋_GB2312" w:eastAsia="仿宋_GB2312" w:cs="仿宋_GB2312"/>
          <w:b w:val="0"/>
          <w:bCs w:val="0"/>
          <w:color w:val="auto"/>
          <w:sz w:val="32"/>
          <w:szCs w:val="32"/>
          <w:u w:val="none"/>
          <w:lang w:eastAsia="zh-CN"/>
        </w:rPr>
        <w:t>为开展校企合作、社会服务、技术服务等创收项目所发生的各项</w:t>
      </w:r>
      <w:r>
        <w:rPr>
          <w:rFonts w:hint="eastAsia" w:ascii="仿宋_GB2312" w:hAnsi="仿宋_GB2312" w:eastAsia="仿宋_GB2312" w:cs="仿宋_GB2312"/>
          <w:b w:val="0"/>
          <w:bCs w:val="0"/>
          <w:color w:val="auto"/>
          <w:sz w:val="32"/>
          <w:szCs w:val="32"/>
          <w:u w:val="none"/>
          <w:lang w:val="en-US" w:eastAsia="zh-CN"/>
        </w:rPr>
        <w:t>直接</w:t>
      </w:r>
      <w:r>
        <w:rPr>
          <w:rFonts w:hint="eastAsia" w:ascii="仿宋_GB2312" w:hAnsi="仿宋_GB2312" w:eastAsia="仿宋_GB2312" w:cs="仿宋_GB2312"/>
          <w:b w:val="0"/>
          <w:bCs w:val="0"/>
          <w:color w:val="auto"/>
          <w:sz w:val="32"/>
          <w:szCs w:val="32"/>
          <w:u w:val="none"/>
          <w:lang w:eastAsia="zh-CN"/>
        </w:rPr>
        <w:t>开支</w:t>
      </w:r>
      <w:r>
        <w:rPr>
          <w:rFonts w:hint="eastAsia" w:ascii="仿宋_GB2312" w:hAnsi="仿宋_GB2312" w:eastAsia="仿宋_GB2312" w:cs="仿宋_GB2312"/>
          <w:b w:val="0"/>
          <w:bCs w:val="0"/>
          <w:color w:val="auto"/>
          <w:sz w:val="32"/>
          <w:szCs w:val="32"/>
          <w:u w:val="none"/>
          <w:lang w:val="en-US" w:eastAsia="zh-CN"/>
        </w:rPr>
        <w:t>。</w:t>
      </w:r>
    </w:p>
    <w:p>
      <w:pPr>
        <w:keepNext w:val="0"/>
        <w:keepLines w:val="0"/>
        <w:pageBreakBefore w:val="0"/>
        <w:widowControl/>
        <w:kinsoku/>
        <w:wordWrap/>
        <w:overflowPunct/>
        <w:topLinePunct w:val="0"/>
        <w:bidi w:val="0"/>
        <w:spacing w:line="560" w:lineRule="exact"/>
        <w:ind w:firstLine="632" w:firstLineChars="200"/>
        <w:textAlignment w:val="auto"/>
        <w:rPr>
          <w:rFonts w:hint="eastAsia" w:ascii="仿宋_GB2312" w:hAnsi="仿宋_GB2312" w:eastAsia="仿宋_GB2312" w:cs="仿宋_GB2312"/>
          <w:b w:val="0"/>
          <w:bCs w:val="0"/>
          <w:color w:val="auto"/>
          <w:sz w:val="32"/>
          <w:szCs w:val="32"/>
          <w:u w:val="none"/>
          <w:lang w:val="en-US" w:eastAsia="zh-CN"/>
        </w:rPr>
      </w:pPr>
      <w:r>
        <w:rPr>
          <w:rFonts w:hint="eastAsia" w:ascii="楷体_GB2312" w:hAnsi="楷体_GB2312" w:eastAsia="楷体_GB2312" w:cs="楷体_GB2312"/>
          <w:b w:val="0"/>
          <w:bCs w:val="0"/>
          <w:color w:val="auto"/>
          <w:sz w:val="32"/>
          <w:szCs w:val="32"/>
          <w:u w:val="none"/>
        </w:rPr>
        <w:t>（</w:t>
      </w:r>
      <w:r>
        <w:rPr>
          <w:rFonts w:hint="eastAsia" w:ascii="楷体_GB2312" w:hAnsi="楷体_GB2312" w:eastAsia="楷体_GB2312" w:cs="楷体_GB2312"/>
          <w:b w:val="0"/>
          <w:bCs w:val="0"/>
          <w:color w:val="auto"/>
          <w:sz w:val="32"/>
          <w:szCs w:val="32"/>
          <w:u w:val="none"/>
          <w:lang w:val="en-US" w:eastAsia="zh-CN"/>
        </w:rPr>
        <w:t>二</w:t>
      </w:r>
      <w:r>
        <w:rPr>
          <w:rFonts w:hint="eastAsia" w:ascii="楷体_GB2312" w:hAnsi="楷体_GB2312" w:eastAsia="楷体_GB2312" w:cs="楷体_GB2312"/>
          <w:b w:val="0"/>
          <w:bCs w:val="0"/>
          <w:color w:val="auto"/>
          <w:sz w:val="32"/>
          <w:szCs w:val="32"/>
          <w:u w:val="none"/>
        </w:rPr>
        <w:t>）</w:t>
      </w:r>
      <w:r>
        <w:rPr>
          <w:rFonts w:hint="eastAsia" w:ascii="楷体_GB2312" w:hAnsi="楷体_GB2312" w:eastAsia="楷体_GB2312" w:cs="楷体_GB2312"/>
          <w:b w:val="0"/>
          <w:bCs w:val="0"/>
          <w:color w:val="auto"/>
          <w:sz w:val="32"/>
          <w:szCs w:val="32"/>
          <w:u w:val="none"/>
          <w:lang w:eastAsia="zh-CN"/>
        </w:rPr>
        <w:t>学生管理经费。</w:t>
      </w:r>
      <w:r>
        <w:rPr>
          <w:rFonts w:hint="eastAsia" w:ascii="仿宋_GB2312" w:hAnsi="仿宋_GB2312" w:eastAsia="仿宋_GB2312" w:cs="仿宋_GB2312"/>
          <w:b w:val="0"/>
          <w:bCs w:val="0"/>
          <w:color w:val="auto"/>
          <w:sz w:val="32"/>
          <w:szCs w:val="32"/>
          <w:u w:val="none"/>
          <w:lang w:val="en-US" w:eastAsia="zh-CN"/>
        </w:rPr>
        <w:t>包括：二级学院学管人员办公费、差旅费、进修培训等经费；班主任费、辅导员费、下班辅导费；开展</w:t>
      </w:r>
      <w:r>
        <w:rPr>
          <w:rFonts w:hint="eastAsia" w:ascii="仿宋_GB2312" w:hAnsi="仿宋_GB2312" w:eastAsia="仿宋_GB2312" w:cs="仿宋_GB2312"/>
          <w:b w:val="0"/>
          <w:bCs w:val="0"/>
          <w:color w:val="auto"/>
          <w:sz w:val="32"/>
          <w:szCs w:val="32"/>
          <w:u w:val="none"/>
          <w:lang w:eastAsia="zh-CN"/>
        </w:rPr>
        <w:t>第二课堂、</w:t>
      </w:r>
      <w:r>
        <w:rPr>
          <w:rFonts w:hint="eastAsia" w:ascii="仿宋_GB2312" w:hAnsi="仿宋_GB2312" w:eastAsia="仿宋_GB2312" w:cs="仿宋_GB2312"/>
          <w:b w:val="0"/>
          <w:bCs w:val="0"/>
          <w:color w:val="auto"/>
          <w:sz w:val="32"/>
          <w:szCs w:val="32"/>
          <w:u w:val="none"/>
          <w:lang w:val="en-US" w:eastAsia="zh-CN"/>
        </w:rPr>
        <w:t>文娱体育活动</w:t>
      </w:r>
      <w:r>
        <w:rPr>
          <w:rFonts w:hint="eastAsia" w:ascii="仿宋_GB2312" w:hAnsi="仿宋_GB2312" w:eastAsia="仿宋_GB2312" w:cs="仿宋_GB2312"/>
          <w:b w:val="0"/>
          <w:bCs w:val="0"/>
          <w:color w:val="auto"/>
          <w:sz w:val="32"/>
          <w:szCs w:val="32"/>
          <w:u w:val="none"/>
          <w:lang w:eastAsia="zh-CN"/>
        </w:rPr>
        <w:t>及</w:t>
      </w:r>
      <w:r>
        <w:rPr>
          <w:rFonts w:hint="eastAsia" w:ascii="仿宋_GB2312" w:hAnsi="仿宋_GB2312" w:eastAsia="仿宋_GB2312" w:cs="仿宋_GB2312"/>
          <w:b w:val="0"/>
          <w:bCs w:val="0"/>
          <w:color w:val="auto"/>
          <w:sz w:val="32"/>
          <w:szCs w:val="32"/>
          <w:u w:val="none"/>
        </w:rPr>
        <w:t>学生</w:t>
      </w:r>
      <w:r>
        <w:rPr>
          <w:rFonts w:hint="eastAsia" w:ascii="仿宋_GB2312" w:hAnsi="仿宋_GB2312" w:eastAsia="仿宋_GB2312" w:cs="仿宋_GB2312"/>
          <w:b w:val="0"/>
          <w:bCs w:val="0"/>
          <w:color w:val="auto"/>
          <w:sz w:val="32"/>
          <w:szCs w:val="32"/>
          <w:u w:val="none"/>
          <w:lang w:eastAsia="zh-CN"/>
        </w:rPr>
        <w:t>注册、档案管理</w:t>
      </w:r>
      <w:r>
        <w:rPr>
          <w:rFonts w:hint="eastAsia" w:ascii="仿宋_GB2312" w:hAnsi="仿宋_GB2312" w:eastAsia="仿宋_GB2312" w:cs="仿宋_GB2312"/>
          <w:b w:val="0"/>
          <w:bCs w:val="0"/>
          <w:color w:val="auto"/>
          <w:sz w:val="32"/>
          <w:szCs w:val="32"/>
          <w:u w:val="none"/>
          <w:lang w:val="en-US" w:eastAsia="zh-CN"/>
        </w:rPr>
        <w:t>等</w:t>
      </w:r>
      <w:r>
        <w:rPr>
          <w:rFonts w:hint="eastAsia" w:ascii="仿宋_GB2312" w:hAnsi="仿宋_GB2312" w:eastAsia="仿宋_GB2312" w:cs="仿宋_GB2312"/>
          <w:b w:val="0"/>
          <w:bCs w:val="0"/>
          <w:color w:val="auto"/>
          <w:sz w:val="32"/>
          <w:szCs w:val="32"/>
          <w:u w:val="none"/>
        </w:rPr>
        <w:t>工作经费</w:t>
      </w:r>
      <w:r>
        <w:rPr>
          <w:rFonts w:hint="eastAsia" w:ascii="仿宋_GB2312" w:hAnsi="仿宋_GB2312" w:eastAsia="仿宋_GB2312" w:cs="仿宋_GB2312"/>
          <w:b w:val="0"/>
          <w:bCs w:val="0"/>
          <w:color w:val="auto"/>
          <w:sz w:val="32"/>
          <w:szCs w:val="32"/>
          <w:u w:val="none"/>
          <w:lang w:eastAsia="zh-CN"/>
        </w:rPr>
        <w:t>。</w:t>
      </w:r>
    </w:p>
    <w:p>
      <w:pPr>
        <w:keepNext w:val="0"/>
        <w:keepLines w:val="0"/>
        <w:pageBreakBefore w:val="0"/>
        <w:widowControl/>
        <w:kinsoku/>
        <w:wordWrap/>
        <w:overflowPunct/>
        <w:topLinePunct w:val="0"/>
        <w:autoSpaceDE/>
        <w:autoSpaceDN/>
        <w:bidi w:val="0"/>
        <w:adjustRightInd/>
        <w:spacing w:line="560" w:lineRule="exact"/>
        <w:ind w:firstLine="632" w:firstLineChars="200"/>
        <w:textAlignment w:val="auto"/>
        <w:rPr>
          <w:rFonts w:hint="eastAsia" w:ascii="仿宋_GB2312" w:hAnsi="仿宋_GB2312" w:eastAsia="仿宋_GB2312" w:cs="仿宋_GB2312"/>
          <w:b w:val="0"/>
          <w:bCs w:val="0"/>
          <w:color w:val="auto"/>
          <w:sz w:val="32"/>
          <w:szCs w:val="32"/>
          <w:u w:val="none"/>
          <w:lang w:eastAsia="zh-CN"/>
        </w:rPr>
      </w:pPr>
      <w:r>
        <w:rPr>
          <w:rFonts w:hint="eastAsia" w:ascii="楷体_GB2312" w:hAnsi="楷体_GB2312" w:eastAsia="楷体_GB2312" w:cs="楷体_GB2312"/>
          <w:b w:val="0"/>
          <w:bCs w:val="0"/>
          <w:color w:val="auto"/>
          <w:sz w:val="32"/>
          <w:szCs w:val="32"/>
          <w:u w:val="none"/>
          <w:lang w:eastAsia="zh-CN"/>
        </w:rPr>
        <w:t>（</w:t>
      </w:r>
      <w:r>
        <w:rPr>
          <w:rFonts w:hint="eastAsia" w:ascii="楷体_GB2312" w:hAnsi="楷体_GB2312" w:eastAsia="楷体_GB2312" w:cs="楷体_GB2312"/>
          <w:b w:val="0"/>
          <w:bCs w:val="0"/>
          <w:color w:val="auto"/>
          <w:sz w:val="32"/>
          <w:szCs w:val="32"/>
          <w:u w:val="none"/>
          <w:lang w:val="en-US" w:eastAsia="zh-CN"/>
        </w:rPr>
        <w:t>三</w:t>
      </w:r>
      <w:r>
        <w:rPr>
          <w:rFonts w:hint="eastAsia" w:ascii="楷体_GB2312" w:hAnsi="楷体_GB2312" w:eastAsia="楷体_GB2312" w:cs="楷体_GB2312"/>
          <w:b w:val="0"/>
          <w:bCs w:val="0"/>
          <w:color w:val="auto"/>
          <w:sz w:val="32"/>
          <w:szCs w:val="32"/>
          <w:u w:val="none"/>
          <w:lang w:eastAsia="zh-CN"/>
        </w:rPr>
        <w:t>）</w:t>
      </w:r>
      <w:r>
        <w:rPr>
          <w:rFonts w:hint="eastAsia" w:ascii="楷体_GB2312" w:hAnsi="楷体_GB2312" w:eastAsia="楷体_GB2312" w:cs="楷体_GB2312"/>
          <w:b w:val="0"/>
          <w:bCs w:val="0"/>
          <w:color w:val="auto"/>
          <w:sz w:val="32"/>
          <w:szCs w:val="32"/>
          <w:u w:val="none"/>
          <w:lang w:val="en-US" w:eastAsia="zh-CN"/>
        </w:rPr>
        <w:t>实训</w:t>
      </w:r>
      <w:r>
        <w:rPr>
          <w:rFonts w:hint="eastAsia" w:ascii="楷体_GB2312" w:hAnsi="楷体_GB2312" w:eastAsia="楷体_GB2312" w:cs="楷体_GB2312"/>
          <w:b w:val="0"/>
          <w:bCs w:val="0"/>
          <w:color w:val="auto"/>
          <w:sz w:val="32"/>
          <w:szCs w:val="32"/>
          <w:u w:val="none"/>
          <w:lang w:eastAsia="zh-CN"/>
        </w:rPr>
        <w:t>耗材费。</w:t>
      </w:r>
      <w:r>
        <w:rPr>
          <w:rFonts w:hint="eastAsia" w:ascii="仿宋_GB2312" w:hAnsi="仿宋_GB2312" w:eastAsia="仿宋_GB2312" w:cs="仿宋_GB2312"/>
          <w:b w:val="0"/>
          <w:bCs w:val="0"/>
          <w:color w:val="auto"/>
          <w:sz w:val="32"/>
          <w:szCs w:val="32"/>
          <w:u w:val="none"/>
          <w:lang w:val="en-US" w:eastAsia="zh-CN"/>
        </w:rPr>
        <w:t>指</w:t>
      </w:r>
      <w:r>
        <w:rPr>
          <w:rFonts w:hint="eastAsia" w:ascii="仿宋_GB2312" w:hAnsi="仿宋_GB2312" w:eastAsia="仿宋_GB2312" w:cs="仿宋_GB2312"/>
          <w:b w:val="0"/>
          <w:bCs w:val="0"/>
          <w:color w:val="auto"/>
          <w:sz w:val="32"/>
          <w:szCs w:val="32"/>
          <w:u w:val="none"/>
          <w:lang w:eastAsia="zh-CN"/>
        </w:rPr>
        <w:t>二级学院</w:t>
      </w:r>
      <w:r>
        <w:rPr>
          <w:rFonts w:hint="eastAsia" w:ascii="仿宋_GB2312" w:hAnsi="仿宋_GB2312" w:eastAsia="仿宋_GB2312" w:cs="仿宋_GB2312"/>
          <w:b w:val="0"/>
          <w:bCs w:val="0"/>
          <w:color w:val="auto"/>
          <w:sz w:val="32"/>
          <w:szCs w:val="32"/>
          <w:u w:val="none"/>
          <w:lang w:val="en-US" w:eastAsia="zh-CN"/>
        </w:rPr>
        <w:t>按照人才培养方案实施的校内</w:t>
      </w:r>
      <w:r>
        <w:rPr>
          <w:rFonts w:hint="eastAsia" w:ascii="仿宋_GB2312" w:hAnsi="仿宋_GB2312" w:eastAsia="仿宋_GB2312" w:cs="仿宋_GB2312"/>
          <w:b w:val="0"/>
          <w:bCs w:val="0"/>
          <w:color w:val="auto"/>
          <w:sz w:val="32"/>
          <w:szCs w:val="32"/>
          <w:u w:val="none"/>
          <w:lang w:eastAsia="zh-CN"/>
        </w:rPr>
        <w:t>实训</w:t>
      </w:r>
      <w:r>
        <w:rPr>
          <w:rFonts w:hint="eastAsia" w:ascii="仿宋_GB2312" w:hAnsi="仿宋_GB2312" w:eastAsia="仿宋_GB2312" w:cs="仿宋_GB2312"/>
          <w:b w:val="0"/>
          <w:bCs w:val="0"/>
          <w:color w:val="auto"/>
          <w:sz w:val="32"/>
          <w:szCs w:val="32"/>
          <w:u w:val="none"/>
          <w:lang w:val="en-US" w:eastAsia="zh-CN"/>
        </w:rPr>
        <w:t>教学所需</w:t>
      </w:r>
      <w:r>
        <w:rPr>
          <w:rFonts w:hint="eastAsia" w:ascii="仿宋_GB2312" w:hAnsi="仿宋_GB2312" w:eastAsia="仿宋_GB2312" w:cs="仿宋_GB2312"/>
          <w:b w:val="0"/>
          <w:bCs w:val="0"/>
          <w:color w:val="auto"/>
          <w:sz w:val="32"/>
          <w:szCs w:val="32"/>
          <w:u w:val="none"/>
          <w:lang w:eastAsia="zh-CN"/>
        </w:rPr>
        <w:t>耗材</w:t>
      </w:r>
      <w:r>
        <w:rPr>
          <w:rFonts w:hint="eastAsia" w:ascii="仿宋_GB2312" w:hAnsi="仿宋_GB2312" w:eastAsia="仿宋_GB2312" w:cs="仿宋_GB2312"/>
          <w:b w:val="0"/>
          <w:bCs w:val="0"/>
          <w:color w:val="auto"/>
          <w:sz w:val="32"/>
          <w:szCs w:val="32"/>
          <w:u w:val="none"/>
          <w:lang w:val="en-US" w:eastAsia="zh-CN"/>
        </w:rPr>
        <w:t>的购置</w:t>
      </w:r>
      <w:r>
        <w:rPr>
          <w:rFonts w:hint="eastAsia" w:ascii="仿宋_GB2312" w:hAnsi="仿宋_GB2312" w:eastAsia="仿宋_GB2312" w:cs="仿宋_GB2312"/>
          <w:b w:val="0"/>
          <w:bCs w:val="0"/>
          <w:color w:val="auto"/>
          <w:sz w:val="32"/>
          <w:szCs w:val="32"/>
          <w:u w:val="none"/>
          <w:lang w:eastAsia="zh-CN"/>
        </w:rPr>
        <w:t>费</w:t>
      </w:r>
      <w:r>
        <w:rPr>
          <w:rFonts w:hint="eastAsia" w:ascii="仿宋_GB2312" w:hAnsi="仿宋_GB2312" w:eastAsia="仿宋_GB2312" w:cs="仿宋_GB2312"/>
          <w:b w:val="0"/>
          <w:bCs w:val="0"/>
          <w:color w:val="auto"/>
          <w:sz w:val="32"/>
          <w:szCs w:val="32"/>
          <w:u w:val="none"/>
          <w:lang w:val="en-US" w:eastAsia="zh-CN"/>
        </w:rPr>
        <w:t>以及</w:t>
      </w:r>
      <w:r>
        <w:rPr>
          <w:rFonts w:hint="eastAsia" w:ascii="仿宋_GB2312" w:hAnsi="仿宋_GB2312" w:eastAsia="仿宋_GB2312" w:cs="仿宋_GB2312"/>
          <w:b w:val="0"/>
          <w:bCs w:val="0"/>
          <w:color w:val="auto"/>
          <w:sz w:val="32"/>
          <w:szCs w:val="32"/>
          <w:u w:val="none"/>
          <w:lang w:eastAsia="zh-CN"/>
        </w:rPr>
        <w:t>参加市级竞赛</w:t>
      </w:r>
      <w:r>
        <w:rPr>
          <w:rFonts w:hint="eastAsia" w:ascii="仿宋_GB2312" w:hAnsi="仿宋_GB2312" w:eastAsia="仿宋_GB2312" w:cs="仿宋_GB2312"/>
          <w:b w:val="0"/>
          <w:bCs w:val="0"/>
          <w:color w:val="auto"/>
          <w:sz w:val="32"/>
          <w:szCs w:val="32"/>
          <w:u w:val="none"/>
          <w:lang w:val="en-US" w:eastAsia="zh-CN"/>
        </w:rPr>
        <w:t>的耗材费</w:t>
      </w:r>
      <w:r>
        <w:rPr>
          <w:rFonts w:hint="eastAsia" w:ascii="仿宋_GB2312" w:hAnsi="仿宋_GB2312" w:eastAsia="仿宋_GB2312" w:cs="仿宋_GB2312"/>
          <w:b w:val="0"/>
          <w:bCs w:val="0"/>
          <w:color w:val="auto"/>
          <w:sz w:val="32"/>
          <w:szCs w:val="32"/>
          <w:u w:val="none"/>
          <w:lang w:eastAsia="zh-CN"/>
        </w:rPr>
        <w:t>。</w:t>
      </w:r>
    </w:p>
    <w:p>
      <w:pPr>
        <w:pStyle w:val="2"/>
        <w:keepNext w:val="0"/>
        <w:keepLines w:val="0"/>
        <w:pageBreakBefore w:val="0"/>
        <w:widowControl/>
        <w:kinsoku/>
        <w:wordWrap/>
        <w:overflowPunct/>
        <w:topLinePunct w:val="0"/>
        <w:autoSpaceDE/>
        <w:autoSpaceDN/>
        <w:bidi w:val="0"/>
        <w:adjustRightInd/>
        <w:spacing w:line="560" w:lineRule="exact"/>
        <w:ind w:firstLine="632" w:firstLineChars="200"/>
        <w:textAlignment w:val="auto"/>
        <w:rPr>
          <w:rFonts w:hint="eastAsia" w:ascii="仿宋_GB2312" w:hAnsi="仿宋_GB2312" w:eastAsia="仿宋_GB2312" w:cs="仿宋_GB2312"/>
          <w:b w:val="0"/>
          <w:bCs w:val="0"/>
          <w:color w:val="auto"/>
          <w:sz w:val="32"/>
          <w:szCs w:val="32"/>
          <w:u w:val="none"/>
          <w:lang w:val="en-US" w:eastAsia="zh-CN"/>
        </w:rPr>
      </w:pPr>
      <w:r>
        <w:rPr>
          <w:rFonts w:hint="eastAsia" w:ascii="楷体_GB2312" w:hAnsi="楷体_GB2312" w:eastAsia="楷体_GB2312" w:cs="楷体_GB2312"/>
          <w:b w:val="0"/>
          <w:bCs w:val="0"/>
          <w:color w:val="auto"/>
          <w:sz w:val="32"/>
          <w:szCs w:val="32"/>
          <w:u w:val="none"/>
          <w:lang w:val="en-US" w:eastAsia="zh-CN"/>
        </w:rPr>
        <w:t>（四）专项项目建设经费。</w:t>
      </w:r>
      <w:r>
        <w:rPr>
          <w:rFonts w:hint="eastAsia" w:ascii="仿宋_GB2312" w:hAnsi="仿宋_GB2312" w:eastAsia="仿宋_GB2312" w:cs="仿宋_GB2312"/>
          <w:b w:val="0"/>
          <w:bCs w:val="0"/>
          <w:color w:val="auto"/>
          <w:sz w:val="32"/>
          <w:szCs w:val="32"/>
          <w:u w:val="none"/>
          <w:lang w:val="en-US" w:eastAsia="zh-CN"/>
        </w:rPr>
        <w:t>按照审核通过的立项申报书、项目建设实施方案和预算组织实施，经费实行专款专用，按规定用途使用。</w:t>
      </w:r>
    </w:p>
    <w:p>
      <w:pPr>
        <w:keepNext w:val="0"/>
        <w:keepLines w:val="0"/>
        <w:pageBreakBefore w:val="0"/>
        <w:widowControl/>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color w:val="auto"/>
          <w:lang w:val="en-US" w:eastAsia="zh-CN"/>
        </w:rPr>
      </w:pPr>
      <w:r>
        <w:rPr>
          <w:rFonts w:hint="eastAsia" w:ascii="楷体_GB2312" w:hAnsi="楷体_GB2312" w:eastAsia="楷体_GB2312" w:cs="楷体_GB2312"/>
          <w:b w:val="0"/>
          <w:bCs w:val="0"/>
          <w:color w:val="auto"/>
          <w:sz w:val="32"/>
          <w:szCs w:val="32"/>
          <w:u w:val="none"/>
          <w:lang w:val="en-US" w:eastAsia="zh-CN"/>
        </w:rPr>
        <w:t>（五）人文素质学院。</w:t>
      </w:r>
      <w:r>
        <w:rPr>
          <w:rFonts w:hint="eastAsia" w:ascii="仿宋_GB2312" w:hAnsi="仿宋_GB2312" w:eastAsia="仿宋_GB2312" w:cs="仿宋_GB2312"/>
          <w:b w:val="0"/>
          <w:bCs w:val="0"/>
          <w:color w:val="auto"/>
          <w:sz w:val="32"/>
          <w:szCs w:val="32"/>
          <w:u w:val="none"/>
          <w:lang w:val="en-US" w:eastAsia="zh-CN"/>
        </w:rPr>
        <w:t>马克思主义学院专任教师</w:t>
      </w:r>
      <w:r>
        <w:rPr>
          <w:rFonts w:hint="eastAsia" w:ascii="仿宋_GB2312" w:hAnsi="仿宋_GB2312" w:eastAsia="仿宋_GB2312" w:cs="仿宋_GB2312"/>
          <w:b w:val="0"/>
          <w:bCs w:val="0"/>
          <w:color w:val="auto"/>
          <w:sz w:val="32"/>
          <w:szCs w:val="32"/>
          <w:u w:val="none"/>
          <w:lang w:eastAsia="zh-CN"/>
        </w:rPr>
        <w:t>月</w:t>
      </w:r>
      <w:r>
        <w:rPr>
          <w:rFonts w:hint="eastAsia" w:ascii="仿宋_GB2312" w:hAnsi="仿宋_GB2312" w:eastAsia="仿宋_GB2312" w:cs="仿宋_GB2312"/>
          <w:b w:val="0"/>
          <w:bCs w:val="0"/>
          <w:color w:val="auto"/>
          <w:sz w:val="32"/>
          <w:szCs w:val="32"/>
          <w:u w:val="none"/>
          <w:lang w:val="en-US" w:eastAsia="zh-CN"/>
        </w:rPr>
        <w:t>度</w:t>
      </w:r>
      <w:r>
        <w:rPr>
          <w:rFonts w:hint="eastAsia" w:ascii="仿宋_GB2312" w:hAnsi="仿宋_GB2312" w:eastAsia="仿宋_GB2312" w:cs="仿宋_GB2312"/>
          <w:b w:val="0"/>
          <w:bCs w:val="0"/>
          <w:color w:val="auto"/>
          <w:sz w:val="32"/>
          <w:szCs w:val="32"/>
          <w:u w:val="none"/>
          <w:lang w:eastAsia="zh-CN"/>
        </w:rPr>
        <w:t>奖励</w:t>
      </w:r>
      <w:r>
        <w:rPr>
          <w:rFonts w:hint="eastAsia" w:ascii="仿宋_GB2312" w:hAnsi="仿宋_GB2312" w:eastAsia="仿宋_GB2312" w:cs="仿宋_GB2312"/>
          <w:b w:val="0"/>
          <w:bCs w:val="0"/>
          <w:color w:val="auto"/>
          <w:sz w:val="32"/>
          <w:szCs w:val="32"/>
          <w:u w:val="none"/>
          <w:lang w:val="en-US" w:eastAsia="zh-CN"/>
        </w:rPr>
        <w:t>性</w:t>
      </w:r>
      <w:r>
        <w:rPr>
          <w:rFonts w:hint="eastAsia" w:ascii="仿宋_GB2312" w:hAnsi="仿宋_GB2312" w:eastAsia="仿宋_GB2312" w:cs="仿宋_GB2312"/>
          <w:b w:val="0"/>
          <w:bCs w:val="0"/>
          <w:color w:val="auto"/>
          <w:sz w:val="32"/>
          <w:szCs w:val="32"/>
          <w:u w:val="none"/>
          <w:lang w:eastAsia="zh-CN"/>
        </w:rPr>
        <w:t>绩效</w:t>
      </w:r>
      <w:r>
        <w:rPr>
          <w:rFonts w:hint="eastAsia" w:ascii="仿宋_GB2312" w:hAnsi="仿宋_GB2312" w:eastAsia="仿宋_GB2312" w:cs="仿宋_GB2312"/>
          <w:b w:val="0"/>
          <w:bCs w:val="0"/>
          <w:color w:val="auto"/>
          <w:sz w:val="32"/>
          <w:szCs w:val="32"/>
          <w:u w:val="none"/>
          <w:lang w:val="en-US" w:eastAsia="zh-CN"/>
        </w:rPr>
        <w:t>以及所有人员的课时费、班主任费、下班辅导费等由相应的二级学院依据本院绩效考核办法核算和承担，其他经费由学校承担，在学校核定的预算内开支。</w:t>
      </w:r>
    </w:p>
    <w:p>
      <w:pPr>
        <w:keepNext w:val="0"/>
        <w:keepLines w:val="0"/>
        <w:pageBreakBefore w:val="0"/>
        <w:widowControl/>
        <w:kinsoku/>
        <w:wordWrap/>
        <w:overflowPunct/>
        <w:topLinePunct w:val="0"/>
        <w:autoSpaceDE/>
        <w:autoSpaceDN/>
        <w:bidi w:val="0"/>
        <w:adjustRightInd/>
        <w:snapToGrid/>
        <w:spacing w:before="157" w:beforeLines="50" w:after="157" w:afterLines="50" w:line="560" w:lineRule="exact"/>
        <w:jc w:val="center"/>
        <w:textAlignment w:val="auto"/>
        <w:rPr>
          <w:rFonts w:hint="eastAsia" w:ascii="黑体" w:hAnsi="黑体" w:eastAsia="黑体" w:cs="黑体"/>
          <w:b w:val="0"/>
          <w:bCs w:val="0"/>
          <w:color w:val="auto"/>
          <w:sz w:val="32"/>
          <w:szCs w:val="32"/>
          <w:u w:val="none"/>
          <w:lang w:eastAsia="zh-CN"/>
        </w:rPr>
      </w:pPr>
      <w:r>
        <w:rPr>
          <w:rFonts w:hint="eastAsia" w:ascii="黑体" w:hAnsi="黑体" w:eastAsia="黑体" w:cs="黑体"/>
          <w:b w:val="0"/>
          <w:bCs w:val="0"/>
          <w:color w:val="auto"/>
          <w:sz w:val="32"/>
          <w:szCs w:val="32"/>
          <w:u w:val="none"/>
          <w:lang w:val="en-US" w:eastAsia="zh-CN"/>
        </w:rPr>
        <w:t>第五章  二级学院</w:t>
      </w:r>
      <w:r>
        <w:rPr>
          <w:rFonts w:hint="eastAsia" w:ascii="黑体" w:hAnsi="黑体" w:eastAsia="黑体" w:cs="黑体"/>
          <w:b w:val="0"/>
          <w:bCs w:val="0"/>
          <w:color w:val="auto"/>
          <w:sz w:val="32"/>
          <w:szCs w:val="32"/>
          <w:u w:val="none"/>
          <w:lang w:eastAsia="zh-CN"/>
        </w:rPr>
        <w:t>预算编制管理的基本规定</w:t>
      </w:r>
    </w:p>
    <w:p>
      <w:pPr>
        <w:keepNext w:val="0"/>
        <w:keepLines w:val="0"/>
        <w:pageBreakBefore w:val="0"/>
        <w:widowControl/>
        <w:kinsoku/>
        <w:wordWrap/>
        <w:overflowPunct/>
        <w:topLinePunct w:val="0"/>
        <w:autoSpaceDE w:val="0"/>
        <w:autoSpaceDN w:val="0"/>
        <w:bidi w:val="0"/>
        <w:adjustRightInd w:val="0"/>
        <w:spacing w:line="560" w:lineRule="exact"/>
        <w:ind w:firstLine="635" w:firstLineChars="200"/>
        <w:jc w:val="left"/>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b/>
          <w:bCs/>
          <w:color w:val="auto"/>
          <w:sz w:val="32"/>
          <w:szCs w:val="32"/>
          <w:u w:val="none"/>
        </w:rPr>
        <w:t>第</w:t>
      </w:r>
      <w:r>
        <w:rPr>
          <w:rFonts w:hint="eastAsia" w:ascii="仿宋_GB2312" w:hAnsi="仿宋_GB2312" w:eastAsia="仿宋_GB2312" w:cs="仿宋_GB2312"/>
          <w:b/>
          <w:bCs/>
          <w:color w:val="auto"/>
          <w:sz w:val="32"/>
          <w:szCs w:val="32"/>
          <w:u w:val="none"/>
          <w:lang w:val="en-US" w:eastAsia="zh-CN"/>
        </w:rPr>
        <w:t>九</w:t>
      </w:r>
      <w:r>
        <w:rPr>
          <w:rFonts w:hint="eastAsia" w:ascii="仿宋_GB2312" w:hAnsi="仿宋_GB2312" w:eastAsia="仿宋_GB2312" w:cs="仿宋_GB2312"/>
          <w:b/>
          <w:bCs/>
          <w:color w:val="auto"/>
          <w:sz w:val="32"/>
          <w:szCs w:val="32"/>
          <w:u w:val="none"/>
        </w:rPr>
        <w:t>条</w:t>
      </w:r>
      <w:r>
        <w:rPr>
          <w:rFonts w:hint="eastAsia" w:ascii="仿宋_GB2312" w:hAnsi="仿宋_GB2312" w:eastAsia="仿宋_GB2312" w:cs="仿宋_GB2312"/>
          <w:color w:val="auto"/>
          <w:sz w:val="32"/>
          <w:szCs w:val="32"/>
          <w:u w:val="none"/>
        </w:rPr>
        <w:t xml:space="preserve"> </w:t>
      </w:r>
      <w:r>
        <w:rPr>
          <w:rFonts w:hint="eastAsia" w:ascii="仿宋_GB2312" w:hAnsi="仿宋_GB2312" w:eastAsia="仿宋_GB2312" w:cs="仿宋_GB2312"/>
          <w:color w:val="auto"/>
          <w:sz w:val="32"/>
          <w:szCs w:val="32"/>
          <w:u w:val="none"/>
          <w:lang w:val="en-US" w:eastAsia="zh-CN"/>
        </w:rPr>
        <w:t>二级学院院长是本部门财务工作第一责任人，应切实履行职责，</w:t>
      </w:r>
      <w:r>
        <w:rPr>
          <w:rFonts w:hint="eastAsia" w:ascii="仿宋_GB2312" w:hAnsi="仿宋_GB2312" w:eastAsia="仿宋_GB2312" w:cs="仿宋_GB2312"/>
          <w:color w:val="auto"/>
          <w:sz w:val="32"/>
          <w:szCs w:val="32"/>
          <w:u w:val="none"/>
          <w:lang w:eastAsia="zh-CN"/>
        </w:rPr>
        <w:t>增强预算意识，不断提高预算编制的科学性和预算执行的严肃性。二级学院</w:t>
      </w:r>
      <w:r>
        <w:rPr>
          <w:rFonts w:hint="eastAsia" w:ascii="仿宋_GB2312" w:hAnsi="仿宋_GB2312" w:eastAsia="仿宋_GB2312" w:cs="仿宋_GB2312"/>
          <w:color w:val="auto"/>
          <w:sz w:val="32"/>
          <w:szCs w:val="32"/>
          <w:u w:val="none"/>
        </w:rPr>
        <w:t>预算编制按照“两上两下”的办法进行。</w:t>
      </w:r>
    </w:p>
    <w:p>
      <w:pPr>
        <w:keepNext w:val="0"/>
        <w:keepLines w:val="0"/>
        <w:pageBreakBefore w:val="0"/>
        <w:widowControl/>
        <w:kinsoku/>
        <w:wordWrap/>
        <w:overflowPunct/>
        <w:topLinePunct w:val="0"/>
        <w:autoSpaceDE w:val="0"/>
        <w:autoSpaceDN w:val="0"/>
        <w:bidi w:val="0"/>
        <w:adjustRightInd w:val="0"/>
        <w:spacing w:line="560" w:lineRule="exact"/>
        <w:ind w:firstLine="632" w:firstLineChars="200"/>
        <w:textAlignment w:val="auto"/>
        <w:rPr>
          <w:rFonts w:hint="eastAsia" w:ascii="仿宋_GB2312" w:hAnsi="仿宋_GB2312" w:eastAsia="仿宋_GB2312" w:cs="仿宋_GB2312"/>
          <w:b w:val="0"/>
          <w:bCs w:val="0"/>
          <w:color w:val="auto"/>
          <w:sz w:val="32"/>
          <w:szCs w:val="32"/>
          <w:u w:val="none"/>
          <w:lang w:val="en-US" w:eastAsia="zh-CN"/>
        </w:rPr>
      </w:pPr>
      <w:r>
        <w:rPr>
          <w:rFonts w:hint="eastAsia" w:ascii="仿宋_GB2312" w:hAnsi="仿宋_GB2312" w:eastAsia="仿宋_GB2312" w:cs="仿宋_GB2312"/>
          <w:b w:val="0"/>
          <w:bCs w:val="0"/>
          <w:color w:val="auto"/>
          <w:sz w:val="32"/>
          <w:szCs w:val="32"/>
          <w:u w:val="none"/>
          <w:lang w:eastAsia="zh-CN"/>
        </w:rPr>
        <w:t>二级学院</w:t>
      </w:r>
      <w:r>
        <w:rPr>
          <w:rFonts w:hint="eastAsia" w:ascii="仿宋_GB2312" w:hAnsi="仿宋_GB2312" w:eastAsia="仿宋_GB2312" w:cs="仿宋_GB2312"/>
          <w:b w:val="0"/>
          <w:bCs w:val="0"/>
          <w:color w:val="auto"/>
          <w:sz w:val="32"/>
          <w:szCs w:val="32"/>
          <w:u w:val="none"/>
          <w:lang w:val="en-US" w:eastAsia="zh-CN"/>
        </w:rPr>
        <w:t>预算收入</w:t>
      </w:r>
      <w:r>
        <w:rPr>
          <w:rFonts w:hint="eastAsia" w:ascii="仿宋_GB2312" w:hAnsi="仿宋_GB2312" w:eastAsia="仿宋_GB2312" w:cs="仿宋_GB2312"/>
          <w:b w:val="0"/>
          <w:bCs w:val="0"/>
          <w:color w:val="auto"/>
          <w:sz w:val="32"/>
          <w:szCs w:val="32"/>
          <w:u w:val="none"/>
          <w:lang w:eastAsia="zh-CN"/>
        </w:rPr>
        <w:t>按照核拨收入、创收收入</w:t>
      </w:r>
      <w:r>
        <w:rPr>
          <w:rFonts w:hint="eastAsia" w:ascii="仿宋_GB2312" w:hAnsi="仿宋_GB2312" w:eastAsia="仿宋_GB2312" w:cs="仿宋_GB2312"/>
          <w:b w:val="0"/>
          <w:bCs w:val="0"/>
          <w:color w:val="auto"/>
          <w:sz w:val="32"/>
          <w:szCs w:val="32"/>
          <w:u w:val="none"/>
          <w:lang w:val="en-US" w:eastAsia="zh-CN"/>
        </w:rPr>
        <w:t>分成</w:t>
      </w:r>
      <w:r>
        <w:rPr>
          <w:rFonts w:hint="eastAsia" w:ascii="仿宋_GB2312" w:hAnsi="仿宋_GB2312" w:eastAsia="仿宋_GB2312" w:cs="仿宋_GB2312"/>
          <w:b w:val="0"/>
          <w:bCs w:val="0"/>
          <w:color w:val="auto"/>
          <w:sz w:val="32"/>
          <w:szCs w:val="32"/>
          <w:u w:val="none"/>
          <w:lang w:eastAsia="zh-CN"/>
        </w:rPr>
        <w:t>、专项收入</w:t>
      </w:r>
      <w:r>
        <w:rPr>
          <w:rFonts w:hint="eastAsia" w:ascii="仿宋_GB2312" w:hAnsi="仿宋_GB2312" w:eastAsia="仿宋_GB2312" w:cs="仿宋_GB2312"/>
          <w:b w:val="0"/>
          <w:bCs w:val="0"/>
          <w:color w:val="auto"/>
          <w:sz w:val="32"/>
          <w:szCs w:val="32"/>
          <w:u w:val="none"/>
          <w:lang w:val="en-US" w:eastAsia="zh-CN"/>
        </w:rPr>
        <w:t>三个项目填报；预算支出</w:t>
      </w:r>
      <w:r>
        <w:rPr>
          <w:rFonts w:hint="eastAsia" w:ascii="仿宋_GB2312" w:hAnsi="仿宋_GB2312" w:eastAsia="仿宋_GB2312" w:cs="仿宋_GB2312"/>
          <w:b w:val="0"/>
          <w:bCs w:val="0"/>
          <w:color w:val="auto"/>
          <w:sz w:val="32"/>
          <w:szCs w:val="32"/>
          <w:u w:val="none"/>
          <w:lang w:eastAsia="zh-CN"/>
        </w:rPr>
        <w:t>按照</w:t>
      </w:r>
      <w:r>
        <w:rPr>
          <w:rFonts w:hint="eastAsia" w:ascii="仿宋_GB2312" w:hAnsi="仿宋_GB2312" w:eastAsia="仿宋_GB2312" w:cs="仿宋_GB2312"/>
          <w:b w:val="0"/>
          <w:bCs w:val="0"/>
          <w:color w:val="auto"/>
          <w:sz w:val="32"/>
          <w:szCs w:val="32"/>
          <w:u w:val="none"/>
          <w:lang w:val="en-US" w:eastAsia="zh-CN"/>
        </w:rPr>
        <w:t>教学运行经费、学生管理经费、实训耗材费、专项项目建设经费四个项目填报。</w:t>
      </w:r>
    </w:p>
    <w:p>
      <w:pPr>
        <w:keepNext w:val="0"/>
        <w:keepLines w:val="0"/>
        <w:pageBreakBefore w:val="0"/>
        <w:widowControl/>
        <w:kinsoku/>
        <w:wordWrap/>
        <w:overflowPunct/>
        <w:topLinePunct w:val="0"/>
        <w:autoSpaceDE w:val="0"/>
        <w:autoSpaceDN w:val="0"/>
        <w:bidi w:val="0"/>
        <w:adjustRightInd w:val="0"/>
        <w:spacing w:line="560" w:lineRule="exact"/>
        <w:ind w:firstLine="632" w:firstLineChars="200"/>
        <w:textAlignment w:val="auto"/>
        <w:rPr>
          <w:rFonts w:hint="eastAsia" w:ascii="仿宋_GB2312" w:hAnsi="仿宋_GB2312" w:eastAsia="仿宋_GB2312" w:cs="仿宋_GB2312"/>
          <w:b w:val="0"/>
          <w:bCs w:val="0"/>
          <w:color w:val="auto"/>
          <w:sz w:val="32"/>
          <w:szCs w:val="32"/>
          <w:u w:val="none"/>
          <w:lang w:val="en-US" w:eastAsia="zh-CN"/>
        </w:rPr>
      </w:pPr>
      <w:r>
        <w:rPr>
          <w:rFonts w:hint="eastAsia" w:ascii="仿宋_GB2312" w:hAnsi="仿宋_GB2312" w:eastAsia="仿宋_GB2312" w:cs="仿宋_GB2312"/>
          <w:b w:val="0"/>
          <w:bCs w:val="0"/>
          <w:color w:val="auto"/>
          <w:sz w:val="32"/>
          <w:szCs w:val="32"/>
          <w:u w:val="none"/>
          <w:lang w:val="en-US" w:eastAsia="zh-CN"/>
        </w:rPr>
        <w:t xml:space="preserve">核拨收入中的教学运行经费、学生管理经费以及创收收入分成可以统筹使用，其他专项经费必须专款专用。 </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35" w:firstLineChars="200"/>
        <w:textAlignment w:val="auto"/>
        <w:rPr>
          <w:rFonts w:hint="eastAsia" w:ascii="仿宋_GB2312" w:hAnsi="仿宋_GB2312" w:eastAsia="仿宋_GB2312" w:cs="仿宋_GB2312"/>
          <w:b w:val="0"/>
          <w:bCs w:val="0"/>
          <w:color w:val="auto"/>
          <w:sz w:val="32"/>
          <w:szCs w:val="32"/>
          <w:u w:val="none"/>
          <w:lang w:val="en-US" w:eastAsia="zh-CN"/>
        </w:rPr>
      </w:pPr>
      <w:r>
        <w:rPr>
          <w:rFonts w:hint="eastAsia" w:ascii="仿宋_GB2312" w:hAnsi="仿宋_GB2312" w:eastAsia="仿宋_GB2312" w:cs="仿宋_GB2312"/>
          <w:b/>
          <w:bCs/>
          <w:color w:val="auto"/>
          <w:kern w:val="0"/>
          <w:sz w:val="32"/>
          <w:szCs w:val="32"/>
          <w:u w:val="none"/>
          <w:lang w:val="en-US" w:eastAsia="zh-CN"/>
        </w:rPr>
        <w:t>第十条</w:t>
      </w:r>
      <w:r>
        <w:rPr>
          <w:rFonts w:hint="eastAsia" w:ascii="仿宋_GB2312" w:hAnsi="仿宋_GB2312" w:cs="仿宋_GB2312"/>
          <w:color w:val="auto"/>
          <w:kern w:val="0"/>
          <w:sz w:val="32"/>
          <w:szCs w:val="32"/>
          <w:u w:val="none"/>
          <w:lang w:val="en-US" w:eastAsia="zh-CN"/>
        </w:rPr>
        <w:t xml:space="preserve"> </w:t>
      </w:r>
      <w:r>
        <w:rPr>
          <w:rFonts w:hint="eastAsia" w:ascii="仿宋_GB2312" w:hAnsi="仿宋_GB2312" w:eastAsia="仿宋_GB2312" w:cs="仿宋_GB2312"/>
          <w:color w:val="auto"/>
          <w:kern w:val="0"/>
          <w:sz w:val="32"/>
          <w:szCs w:val="32"/>
          <w:u w:val="none"/>
          <w:lang w:eastAsia="zh-CN"/>
        </w:rPr>
        <w:t>二级学院</w:t>
      </w:r>
      <w:r>
        <w:rPr>
          <w:rFonts w:hint="eastAsia" w:ascii="仿宋_GB2312" w:hAnsi="仿宋_GB2312" w:eastAsia="仿宋_GB2312" w:cs="仿宋_GB2312"/>
          <w:color w:val="auto"/>
          <w:sz w:val="32"/>
          <w:szCs w:val="32"/>
          <w:u w:val="none"/>
        </w:rPr>
        <w:t>预算按</w:t>
      </w:r>
      <w:r>
        <w:rPr>
          <w:rFonts w:hint="eastAsia" w:ascii="仿宋_GB2312" w:hAnsi="仿宋_GB2312" w:eastAsia="仿宋_GB2312" w:cs="仿宋_GB2312"/>
          <w:color w:val="auto"/>
          <w:sz w:val="32"/>
          <w:szCs w:val="32"/>
          <w:u w:val="none"/>
          <w:lang w:val="en-US" w:eastAsia="zh-CN"/>
        </w:rPr>
        <w:t>公</w:t>
      </w:r>
      <w:r>
        <w:rPr>
          <w:rFonts w:hint="eastAsia" w:ascii="仿宋_GB2312" w:hAnsi="仿宋_GB2312" w:eastAsia="仿宋_GB2312" w:cs="仿宋_GB2312"/>
          <w:color w:val="auto"/>
          <w:sz w:val="32"/>
          <w:szCs w:val="32"/>
          <w:u w:val="none"/>
        </w:rPr>
        <w:t>历年度编制，即每年的1月1日至12月31日</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b w:val="0"/>
          <w:bCs w:val="0"/>
          <w:color w:val="auto"/>
          <w:sz w:val="32"/>
          <w:szCs w:val="32"/>
          <w:u w:val="none"/>
        </w:rPr>
        <w:t>学生人数</w:t>
      </w:r>
      <w:r>
        <w:rPr>
          <w:rFonts w:hint="eastAsia" w:ascii="仿宋_GB2312" w:hAnsi="仿宋_GB2312" w:eastAsia="仿宋_GB2312" w:cs="仿宋_GB2312"/>
          <w:b w:val="0"/>
          <w:bCs w:val="0"/>
          <w:color w:val="auto"/>
          <w:sz w:val="32"/>
          <w:szCs w:val="32"/>
          <w:u w:val="none"/>
          <w:lang w:eastAsia="zh-CN"/>
        </w:rPr>
        <w:t>分别</w:t>
      </w:r>
      <w:r>
        <w:rPr>
          <w:rFonts w:hint="eastAsia" w:ascii="仿宋_GB2312" w:hAnsi="仿宋_GB2312" w:eastAsia="仿宋_GB2312" w:cs="仿宋_GB2312"/>
          <w:b w:val="0"/>
          <w:bCs w:val="0"/>
          <w:color w:val="auto"/>
          <w:sz w:val="32"/>
          <w:szCs w:val="32"/>
          <w:u w:val="none"/>
          <w:lang w:val="en-US" w:eastAsia="zh-CN"/>
        </w:rPr>
        <w:t>以每年3月末和10月末在籍人数为依据，由计划财务处分两次核定核拨经费；创收收入分成分别以每年6月末和12月末到账收入为依据，由计划财务处分两次计算核定分成收入。</w:t>
      </w:r>
    </w:p>
    <w:p>
      <w:pPr>
        <w:keepNext w:val="0"/>
        <w:keepLines w:val="0"/>
        <w:pageBreakBefore w:val="0"/>
        <w:widowControl/>
        <w:kinsoku/>
        <w:wordWrap/>
        <w:overflowPunct/>
        <w:topLinePunct w:val="0"/>
        <w:autoSpaceDE/>
        <w:autoSpaceDN/>
        <w:bidi w:val="0"/>
        <w:adjustRightInd/>
        <w:snapToGrid/>
        <w:spacing w:before="157" w:beforeLines="50" w:after="157" w:afterLines="50" w:line="560" w:lineRule="exact"/>
        <w:jc w:val="center"/>
        <w:textAlignment w:val="auto"/>
        <w:rPr>
          <w:rFonts w:hint="eastAsia" w:ascii="黑体" w:hAnsi="黑体" w:eastAsia="黑体" w:cs="黑体"/>
          <w:b w:val="0"/>
          <w:bCs w:val="0"/>
          <w:color w:val="auto"/>
          <w:sz w:val="32"/>
          <w:szCs w:val="32"/>
          <w:u w:val="none"/>
          <w:lang w:val="en-US" w:eastAsia="zh-CN"/>
        </w:rPr>
      </w:pPr>
      <w:r>
        <w:rPr>
          <w:rFonts w:hint="eastAsia" w:ascii="黑体" w:hAnsi="黑体" w:eastAsia="黑体" w:cs="黑体"/>
          <w:b w:val="0"/>
          <w:bCs w:val="0"/>
          <w:color w:val="auto"/>
          <w:sz w:val="32"/>
          <w:szCs w:val="32"/>
          <w:u w:val="none"/>
          <w:lang w:val="en-US" w:eastAsia="zh-CN"/>
        </w:rPr>
        <w:t>第六章  二级学院预算执行管理的基本规定</w:t>
      </w:r>
    </w:p>
    <w:p>
      <w:pPr>
        <w:keepNext w:val="0"/>
        <w:keepLines w:val="0"/>
        <w:pageBreakBefore w:val="0"/>
        <w:widowControl/>
        <w:suppressLineNumbers w:val="0"/>
        <w:shd w:val="clear"/>
        <w:kinsoku/>
        <w:wordWrap/>
        <w:overflowPunct/>
        <w:topLinePunct w:val="0"/>
        <w:autoSpaceDE/>
        <w:autoSpaceDN/>
        <w:bidi w:val="0"/>
        <w:spacing w:beforeAutospacing="0" w:afterAutospacing="0" w:line="560" w:lineRule="exact"/>
        <w:ind w:left="0" w:right="0" w:firstLine="643" w:firstLineChars="200"/>
        <w:jc w:val="left"/>
        <w:textAlignment w:val="auto"/>
        <w:rPr>
          <w:rFonts w:hint="eastAsia" w:ascii="仿宋_GB2312" w:hAnsi="仿宋_GB2312" w:eastAsia="仿宋_GB2312" w:cs="仿宋_GB2312"/>
          <w:color w:val="auto"/>
          <w:spacing w:val="0"/>
          <w:kern w:val="0"/>
          <w:sz w:val="32"/>
          <w:szCs w:val="32"/>
          <w:u w:val="none"/>
          <w:lang w:val="en-US" w:eastAsia="zh-CN" w:bidi="ar-SA"/>
        </w:rPr>
      </w:pPr>
      <w:r>
        <w:rPr>
          <w:rFonts w:hint="eastAsia" w:ascii="仿宋_GB2312" w:hAnsi="仿宋_GB2312" w:eastAsia="仿宋_GB2312" w:cs="仿宋_GB2312"/>
          <w:b/>
          <w:bCs/>
          <w:color w:val="auto"/>
          <w:spacing w:val="0"/>
          <w:kern w:val="0"/>
          <w:sz w:val="32"/>
          <w:szCs w:val="32"/>
          <w:u w:val="none"/>
          <w:lang w:val="en-US" w:eastAsia="zh-CN" w:bidi="ar-SA"/>
        </w:rPr>
        <w:t>第十一条</w:t>
      </w:r>
      <w:r>
        <w:rPr>
          <w:rFonts w:hint="eastAsia" w:ascii="仿宋_GB2312" w:hAnsi="仿宋_GB2312" w:cs="仿宋_GB2312"/>
          <w:color w:val="auto"/>
          <w:spacing w:val="0"/>
          <w:kern w:val="0"/>
          <w:sz w:val="32"/>
          <w:szCs w:val="32"/>
          <w:u w:val="none"/>
          <w:lang w:val="en-US" w:eastAsia="zh-CN" w:bidi="ar-SA"/>
        </w:rPr>
        <w:t xml:space="preserve"> </w:t>
      </w:r>
      <w:r>
        <w:rPr>
          <w:rFonts w:hint="eastAsia" w:ascii="仿宋_GB2312" w:hAnsi="仿宋_GB2312" w:eastAsia="仿宋_GB2312" w:cs="仿宋_GB2312"/>
          <w:color w:val="auto"/>
          <w:spacing w:val="0"/>
          <w:kern w:val="0"/>
          <w:sz w:val="32"/>
          <w:szCs w:val="32"/>
          <w:u w:val="none"/>
          <w:lang w:val="en-US" w:eastAsia="zh-CN" w:bidi="ar-SA"/>
        </w:rPr>
        <w:t>二级学院应坚持量入为出、收支平衡，</w:t>
      </w:r>
      <w:r>
        <w:rPr>
          <w:rFonts w:hint="eastAsia" w:ascii="仿宋_GB2312" w:hAnsi="仿宋_GB2312" w:eastAsia="仿宋_GB2312" w:cs="仿宋_GB2312"/>
          <w:bCs/>
          <w:color w:val="auto"/>
          <w:sz w:val="32"/>
          <w:szCs w:val="32"/>
          <w:u w:val="none"/>
          <w:lang w:eastAsia="zh-CN"/>
        </w:rPr>
        <w:t>不得编制赤字预算。</w:t>
      </w:r>
      <w:r>
        <w:rPr>
          <w:rFonts w:hint="eastAsia" w:ascii="仿宋_GB2312" w:hAnsi="仿宋_GB2312" w:eastAsia="仿宋_GB2312" w:cs="仿宋_GB2312"/>
          <w:bCs/>
          <w:color w:val="auto"/>
          <w:sz w:val="32"/>
          <w:szCs w:val="32"/>
          <w:u w:val="none"/>
          <w:lang w:val="en-US" w:eastAsia="zh-CN"/>
        </w:rPr>
        <w:t>应</w:t>
      </w:r>
      <w:r>
        <w:rPr>
          <w:rFonts w:hint="eastAsia" w:ascii="仿宋_GB2312" w:hAnsi="仿宋_GB2312" w:eastAsia="仿宋_GB2312" w:cs="仿宋_GB2312"/>
          <w:color w:val="auto"/>
          <w:spacing w:val="0"/>
          <w:kern w:val="0"/>
          <w:sz w:val="32"/>
          <w:szCs w:val="32"/>
          <w:u w:val="none"/>
          <w:lang w:val="en-US" w:eastAsia="zh-CN" w:bidi="ar-SA"/>
        </w:rPr>
        <w:t>严格做到非必要不开支、无预算不开支、超预算不开支，确保预算编制和执行的严肃性和约束性。</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35" w:firstLineChars="200"/>
        <w:textAlignment w:val="auto"/>
        <w:rPr>
          <w:rFonts w:hint="eastAsia" w:ascii="仿宋_GB2312" w:hAnsi="仿宋_GB2312" w:eastAsia="仿宋_GB2312" w:cs="仿宋_GB2312"/>
          <w:bCs/>
          <w:color w:val="auto"/>
          <w:sz w:val="32"/>
          <w:szCs w:val="32"/>
          <w:u w:val="none"/>
          <w:lang w:val="en-US" w:eastAsia="zh-CN"/>
        </w:rPr>
      </w:pPr>
      <w:r>
        <w:rPr>
          <w:rFonts w:hint="eastAsia" w:ascii="仿宋_GB2312" w:hAnsi="仿宋_GB2312" w:eastAsia="仿宋_GB2312" w:cs="仿宋_GB2312"/>
          <w:b/>
          <w:bCs/>
          <w:color w:val="auto"/>
          <w:sz w:val="32"/>
          <w:szCs w:val="32"/>
          <w:u w:val="none"/>
          <w:lang w:val="en-US" w:eastAsia="zh-CN"/>
        </w:rPr>
        <w:t>第十二条</w:t>
      </w:r>
      <w:r>
        <w:rPr>
          <w:rFonts w:hint="eastAsia" w:ascii="仿宋_GB2312" w:hAnsi="仿宋_GB2312" w:cs="仿宋_GB2312"/>
          <w:color w:val="auto"/>
          <w:sz w:val="32"/>
          <w:szCs w:val="32"/>
          <w:u w:val="none"/>
          <w:lang w:val="en-US" w:eastAsia="zh-CN"/>
        </w:rPr>
        <w:t xml:space="preserve"> </w:t>
      </w:r>
      <w:r>
        <w:rPr>
          <w:rFonts w:hint="eastAsia" w:ascii="仿宋_GB2312" w:hAnsi="仿宋_GB2312" w:eastAsia="仿宋_GB2312" w:cs="仿宋_GB2312"/>
          <w:color w:val="auto"/>
          <w:sz w:val="32"/>
          <w:szCs w:val="32"/>
          <w:u w:val="none"/>
          <w:lang w:val="en-US" w:eastAsia="zh-CN"/>
        </w:rPr>
        <w:t>创收收入严格执行“收支两条线”，纳入学校计划财务处统一管理，严禁“坐支”</w:t>
      </w:r>
      <w:r>
        <w:rPr>
          <w:rFonts w:hint="eastAsia" w:ascii="仿宋_GB2312" w:hAnsi="仿宋_GB2312" w:eastAsia="仿宋_GB2312" w:cs="仿宋_GB2312"/>
          <w:bCs/>
          <w:color w:val="auto"/>
          <w:sz w:val="32"/>
          <w:szCs w:val="32"/>
          <w:u w:val="none"/>
          <w:lang w:val="en-US" w:eastAsia="zh-CN"/>
        </w:rPr>
        <w:t>、挪用和设立“小金库”。</w:t>
      </w:r>
    </w:p>
    <w:p>
      <w:pPr>
        <w:pStyle w:val="2"/>
        <w:keepNext w:val="0"/>
        <w:keepLines w:val="0"/>
        <w:pageBreakBefore w:val="0"/>
        <w:kinsoku/>
        <w:wordWrap/>
        <w:overflowPunct/>
        <w:topLinePunct w:val="0"/>
        <w:bidi w:val="0"/>
        <w:spacing w:line="560" w:lineRule="exact"/>
        <w:ind w:firstLine="624"/>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b/>
          <w:bCs/>
          <w:color w:val="auto"/>
          <w:sz w:val="32"/>
          <w:szCs w:val="32"/>
          <w:u w:val="none"/>
          <w:lang w:val="en-US" w:eastAsia="zh-CN"/>
        </w:rPr>
        <w:t>第十三条</w:t>
      </w:r>
      <w:r>
        <w:rPr>
          <w:rFonts w:hint="eastAsia" w:ascii="仿宋_GB2312" w:hAnsi="仿宋_GB2312" w:cs="仿宋_GB2312"/>
          <w:color w:val="auto"/>
          <w:kern w:val="0"/>
          <w:sz w:val="32"/>
          <w:szCs w:val="32"/>
          <w:u w:val="none"/>
          <w:lang w:val="en-US" w:eastAsia="zh-CN"/>
        </w:rPr>
        <w:t xml:space="preserve"> </w:t>
      </w:r>
      <w:r>
        <w:rPr>
          <w:rFonts w:hint="eastAsia" w:ascii="仿宋_GB2312" w:hAnsi="仿宋_GB2312" w:eastAsia="仿宋_GB2312" w:cs="仿宋_GB2312"/>
          <w:color w:val="auto"/>
          <w:sz w:val="32"/>
          <w:szCs w:val="32"/>
          <w:u w:val="none"/>
          <w:lang w:val="en-US" w:eastAsia="zh-CN"/>
        </w:rPr>
        <w:t>二级学院因教学需要发生的业务接待费，应严格</w:t>
      </w:r>
    </w:p>
    <w:p>
      <w:pPr>
        <w:keepNext w:val="0"/>
        <w:keepLines w:val="0"/>
        <w:pageBreakBefore w:val="0"/>
        <w:kinsoku/>
        <w:wordWrap/>
        <w:overflowPunct/>
        <w:topLinePunct w:val="0"/>
        <w:bidi w:val="0"/>
        <w:spacing w:line="560" w:lineRule="exact"/>
        <w:textAlignment w:val="auto"/>
        <w:rPr>
          <w:rFonts w:hint="default"/>
          <w:lang w:val="en-US" w:eastAsia="zh-CN"/>
        </w:rPr>
      </w:pPr>
      <w:r>
        <w:rPr>
          <w:rFonts w:hint="eastAsia" w:ascii="仿宋_GB2312" w:hAnsi="仿宋_GB2312" w:eastAsia="仿宋_GB2312" w:cs="仿宋_GB2312"/>
          <w:color w:val="auto"/>
          <w:sz w:val="32"/>
          <w:szCs w:val="32"/>
          <w:u w:val="none"/>
          <w:lang w:val="en-US" w:eastAsia="zh-CN"/>
        </w:rPr>
        <w:t>执行相关政策和制度规定，总额控制在教学运行包干经费的2%</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textAlignment w:val="auto"/>
        <w:rPr>
          <w:rFonts w:hint="eastAsia" w:ascii="仿宋_GB2312" w:hAnsi="仿宋_GB2312" w:eastAsia="仿宋_GB2312" w:cs="仿宋_GB2312"/>
          <w:color w:val="auto"/>
          <w:kern w:val="0"/>
          <w:sz w:val="32"/>
          <w:szCs w:val="32"/>
          <w:u w:val="none"/>
          <w:lang w:val="en-US" w:eastAsia="zh-CN"/>
        </w:rPr>
      </w:pPr>
      <w:r>
        <w:rPr>
          <w:rFonts w:hint="eastAsia" w:ascii="仿宋_GB2312" w:hAnsi="仿宋_GB2312" w:eastAsia="仿宋_GB2312" w:cs="仿宋_GB2312"/>
          <w:color w:val="auto"/>
          <w:sz w:val="32"/>
          <w:szCs w:val="32"/>
          <w:u w:val="none"/>
          <w:lang w:val="en-US" w:eastAsia="zh-CN"/>
        </w:rPr>
        <w:t>额度内，接受计划财务处检查监督。</w:t>
      </w:r>
    </w:p>
    <w:p>
      <w:pPr>
        <w:keepNext w:val="0"/>
        <w:keepLines w:val="0"/>
        <w:pageBreakBefore w:val="0"/>
        <w:widowControl/>
        <w:suppressLineNumbers w:val="0"/>
        <w:shd w:val="clear"/>
        <w:kinsoku/>
        <w:wordWrap/>
        <w:overflowPunct/>
        <w:topLinePunct w:val="0"/>
        <w:autoSpaceDE/>
        <w:autoSpaceDN/>
        <w:bidi w:val="0"/>
        <w:spacing w:beforeAutospacing="0" w:afterAutospacing="0" w:line="560" w:lineRule="exact"/>
        <w:ind w:left="0" w:right="0" w:firstLine="643" w:firstLineChars="200"/>
        <w:jc w:val="left"/>
        <w:textAlignment w:val="auto"/>
        <w:rPr>
          <w:rFonts w:hint="eastAsia" w:ascii="仿宋_GB2312" w:hAnsi="仿宋_GB2312" w:eastAsia="仿宋_GB2312" w:cs="仿宋_GB2312"/>
          <w:color w:val="auto"/>
          <w:spacing w:val="0"/>
          <w:kern w:val="0"/>
          <w:sz w:val="32"/>
          <w:szCs w:val="32"/>
          <w:u w:val="none"/>
          <w:lang w:val="en-US" w:eastAsia="zh-CN" w:bidi="ar-SA"/>
        </w:rPr>
      </w:pPr>
      <w:r>
        <w:rPr>
          <w:rFonts w:hint="eastAsia" w:ascii="仿宋_GB2312" w:hAnsi="仿宋_GB2312" w:eastAsia="仿宋_GB2312" w:cs="仿宋_GB2312"/>
          <w:b/>
          <w:bCs/>
          <w:color w:val="auto"/>
          <w:spacing w:val="0"/>
          <w:kern w:val="0"/>
          <w:sz w:val="32"/>
          <w:szCs w:val="32"/>
          <w:u w:val="none"/>
          <w:lang w:val="en-US" w:eastAsia="zh-CN" w:bidi="ar-SA"/>
        </w:rPr>
        <w:t>第十四条</w:t>
      </w:r>
      <w:r>
        <w:rPr>
          <w:rFonts w:hint="eastAsia" w:ascii="仿宋_GB2312" w:hAnsi="仿宋_GB2312" w:cs="仿宋_GB2312"/>
          <w:color w:val="auto"/>
          <w:spacing w:val="0"/>
          <w:kern w:val="0"/>
          <w:sz w:val="32"/>
          <w:szCs w:val="32"/>
          <w:u w:val="none"/>
          <w:lang w:val="en-US" w:eastAsia="zh-CN" w:bidi="ar-SA"/>
        </w:rPr>
        <w:t xml:space="preserve"> </w:t>
      </w:r>
      <w:r>
        <w:rPr>
          <w:rFonts w:hint="eastAsia" w:ascii="仿宋_GB2312" w:hAnsi="仿宋_GB2312" w:eastAsia="仿宋_GB2312" w:cs="仿宋_GB2312"/>
          <w:color w:val="auto"/>
          <w:spacing w:val="0"/>
          <w:kern w:val="0"/>
          <w:sz w:val="32"/>
          <w:szCs w:val="32"/>
          <w:u w:val="none"/>
          <w:lang w:val="en-US" w:eastAsia="zh-CN" w:bidi="ar-SA"/>
        </w:rPr>
        <w:t>在预算执行过程中，二级学院可根据实际情况向财务处提出经费预算的调剂申请，但不得调剂专项建设经费和实训耗材费。计划财务处于每年9月份集中受理并调整年度预算。</w:t>
      </w:r>
    </w:p>
    <w:p>
      <w:pPr>
        <w:keepNext w:val="0"/>
        <w:keepLines w:val="0"/>
        <w:pageBreakBefore w:val="0"/>
        <w:widowControl/>
        <w:kinsoku/>
        <w:wordWrap/>
        <w:overflowPunct/>
        <w:topLinePunct w:val="0"/>
        <w:bidi w:val="0"/>
        <w:spacing w:line="560" w:lineRule="exact"/>
        <w:ind w:firstLine="635" w:firstLineChars="200"/>
        <w:textAlignment w:val="auto"/>
        <w:rPr>
          <w:rFonts w:hint="eastAsia" w:ascii="仿宋_GB2312" w:hAnsi="仿宋_GB2312" w:eastAsia="仿宋_GB2312" w:cs="仿宋_GB2312"/>
          <w:bCs/>
          <w:color w:val="auto"/>
          <w:sz w:val="32"/>
          <w:szCs w:val="32"/>
          <w:u w:val="none"/>
        </w:rPr>
      </w:pPr>
      <w:r>
        <w:rPr>
          <w:rFonts w:hint="eastAsia" w:ascii="仿宋_GB2312" w:hAnsi="仿宋_GB2312" w:eastAsia="仿宋_GB2312" w:cs="仿宋_GB2312"/>
          <w:b/>
          <w:bCs/>
          <w:color w:val="auto"/>
          <w:sz w:val="32"/>
          <w:szCs w:val="32"/>
          <w:u w:val="none"/>
        </w:rPr>
        <w:t>第</w:t>
      </w:r>
      <w:r>
        <w:rPr>
          <w:rFonts w:hint="eastAsia" w:ascii="仿宋_GB2312" w:hAnsi="仿宋_GB2312" w:eastAsia="仿宋_GB2312" w:cs="仿宋_GB2312"/>
          <w:b/>
          <w:bCs/>
          <w:color w:val="auto"/>
          <w:sz w:val="32"/>
          <w:szCs w:val="32"/>
          <w:u w:val="none"/>
          <w:lang w:eastAsia="zh-CN"/>
        </w:rPr>
        <w:t>十</w:t>
      </w:r>
      <w:r>
        <w:rPr>
          <w:rFonts w:hint="eastAsia" w:ascii="仿宋_GB2312" w:hAnsi="仿宋_GB2312" w:eastAsia="仿宋_GB2312" w:cs="仿宋_GB2312"/>
          <w:b/>
          <w:bCs/>
          <w:color w:val="auto"/>
          <w:sz w:val="32"/>
          <w:szCs w:val="32"/>
          <w:u w:val="none"/>
          <w:lang w:val="en-US" w:eastAsia="zh-CN"/>
        </w:rPr>
        <w:t>五</w:t>
      </w:r>
      <w:r>
        <w:rPr>
          <w:rFonts w:hint="eastAsia" w:ascii="仿宋_GB2312" w:hAnsi="仿宋_GB2312" w:eastAsia="仿宋_GB2312" w:cs="仿宋_GB2312"/>
          <w:b/>
          <w:bCs/>
          <w:color w:val="auto"/>
          <w:sz w:val="32"/>
          <w:szCs w:val="32"/>
          <w:u w:val="none"/>
        </w:rPr>
        <w:t>条</w:t>
      </w:r>
      <w:r>
        <w:rPr>
          <w:rFonts w:hint="eastAsia" w:ascii="仿宋_GB2312" w:hAnsi="仿宋_GB2312" w:eastAsia="仿宋_GB2312" w:cs="仿宋_GB2312"/>
          <w:color w:val="auto"/>
          <w:sz w:val="32"/>
          <w:szCs w:val="32"/>
          <w:u w:val="none"/>
        </w:rPr>
        <w:t xml:space="preserve"> </w:t>
      </w:r>
      <w:r>
        <w:rPr>
          <w:rFonts w:hint="eastAsia" w:ascii="仿宋_GB2312" w:hAnsi="仿宋_GB2312" w:eastAsia="仿宋_GB2312" w:cs="仿宋_GB2312"/>
          <w:color w:val="auto"/>
          <w:sz w:val="32"/>
          <w:szCs w:val="32"/>
          <w:u w:val="none"/>
          <w:lang w:eastAsia="zh-CN"/>
        </w:rPr>
        <w:t>二级学院</w:t>
      </w:r>
      <w:r>
        <w:rPr>
          <w:rFonts w:hint="eastAsia" w:ascii="仿宋_GB2312" w:hAnsi="仿宋_GB2312" w:eastAsia="仿宋_GB2312" w:cs="仿宋_GB2312"/>
          <w:color w:val="auto"/>
          <w:sz w:val="32"/>
          <w:szCs w:val="32"/>
          <w:u w:val="none"/>
        </w:rPr>
        <w:t>负责人应增强责任意识和风险意识，规范行使财权，确保</w:t>
      </w:r>
      <w:r>
        <w:rPr>
          <w:rFonts w:hint="eastAsia" w:ascii="仿宋_GB2312" w:hAnsi="仿宋_GB2312" w:eastAsia="仿宋_GB2312" w:cs="仿宋_GB2312"/>
          <w:color w:val="auto"/>
          <w:sz w:val="32"/>
          <w:szCs w:val="32"/>
          <w:u w:val="none"/>
          <w:lang w:eastAsia="zh-CN"/>
        </w:rPr>
        <w:t>二级学院</w:t>
      </w:r>
      <w:r>
        <w:rPr>
          <w:rFonts w:hint="eastAsia" w:ascii="仿宋_GB2312" w:hAnsi="仿宋_GB2312" w:eastAsia="仿宋_GB2312" w:cs="仿宋_GB2312"/>
          <w:color w:val="auto"/>
          <w:sz w:val="32"/>
          <w:szCs w:val="32"/>
          <w:u w:val="none"/>
        </w:rPr>
        <w:t>经济运行安全有效。严格履行审批程序，确保各项经济业务及相关票据的真实、合法</w:t>
      </w:r>
      <w:r>
        <w:rPr>
          <w:rFonts w:hint="eastAsia" w:ascii="仿宋_GB2312" w:hAnsi="仿宋_GB2312" w:eastAsia="仿宋_GB2312" w:cs="仿宋_GB2312"/>
          <w:bCs/>
          <w:color w:val="auto"/>
          <w:kern w:val="0"/>
          <w:sz w:val="32"/>
          <w:szCs w:val="32"/>
          <w:u w:val="none"/>
        </w:rPr>
        <w:t>，</w:t>
      </w:r>
      <w:r>
        <w:rPr>
          <w:rFonts w:hint="eastAsia" w:ascii="仿宋_GB2312" w:hAnsi="仿宋_GB2312" w:eastAsia="仿宋_GB2312" w:cs="仿宋_GB2312"/>
          <w:color w:val="auto"/>
          <w:sz w:val="32"/>
          <w:szCs w:val="32"/>
          <w:u w:val="none"/>
          <w:lang w:eastAsia="zh-CN"/>
        </w:rPr>
        <w:t>二级学院</w:t>
      </w:r>
      <w:r>
        <w:rPr>
          <w:rFonts w:hint="eastAsia" w:ascii="仿宋_GB2312" w:hAnsi="仿宋_GB2312" w:eastAsia="仿宋_GB2312" w:cs="仿宋_GB2312"/>
          <w:bCs/>
          <w:color w:val="auto"/>
          <w:kern w:val="0"/>
          <w:sz w:val="32"/>
          <w:szCs w:val="32"/>
          <w:u w:val="none"/>
        </w:rPr>
        <w:t>经费具体审批权限</w:t>
      </w:r>
      <w:r>
        <w:rPr>
          <w:rFonts w:hint="eastAsia" w:ascii="仿宋_GB2312" w:hAnsi="仿宋_GB2312" w:eastAsia="仿宋_GB2312" w:cs="仿宋_GB2312"/>
          <w:color w:val="auto"/>
          <w:sz w:val="32"/>
          <w:szCs w:val="32"/>
          <w:u w:val="none"/>
        </w:rPr>
        <w:t>执行学校有关经费审批的规定，</w:t>
      </w:r>
      <w:r>
        <w:rPr>
          <w:rFonts w:hint="eastAsia" w:ascii="仿宋_GB2312" w:hAnsi="仿宋_GB2312" w:eastAsia="仿宋_GB2312" w:cs="仿宋_GB2312"/>
          <w:bCs/>
          <w:color w:val="auto"/>
          <w:sz w:val="32"/>
          <w:szCs w:val="32"/>
          <w:u w:val="none"/>
          <w:lang w:eastAsia="zh-CN"/>
        </w:rPr>
        <w:t>二级学院</w:t>
      </w:r>
      <w:r>
        <w:rPr>
          <w:rFonts w:hint="eastAsia" w:ascii="仿宋_GB2312" w:hAnsi="仿宋_GB2312" w:eastAsia="仿宋_GB2312" w:cs="仿宋_GB2312"/>
          <w:bCs/>
          <w:color w:val="auto"/>
          <w:sz w:val="32"/>
          <w:szCs w:val="32"/>
          <w:u w:val="none"/>
        </w:rPr>
        <w:t>应按规定配备部门兼职报账员</w:t>
      </w:r>
      <w:r>
        <w:rPr>
          <w:rFonts w:hint="eastAsia" w:ascii="仿宋_GB2312" w:hAnsi="仿宋_GB2312" w:eastAsia="仿宋_GB2312" w:cs="仿宋_GB2312"/>
          <w:bCs/>
          <w:color w:val="auto"/>
          <w:sz w:val="32"/>
          <w:szCs w:val="32"/>
          <w:u w:val="none"/>
          <w:lang w:eastAsia="zh-CN"/>
        </w:rPr>
        <w:t>，</w:t>
      </w:r>
      <w:r>
        <w:rPr>
          <w:rFonts w:hint="eastAsia" w:ascii="仿宋_GB2312" w:hAnsi="仿宋_GB2312" w:eastAsia="仿宋_GB2312" w:cs="仿宋_GB2312"/>
          <w:bCs/>
          <w:color w:val="auto"/>
          <w:sz w:val="32"/>
          <w:szCs w:val="32"/>
          <w:u w:val="none"/>
          <w:lang w:val="en-US" w:eastAsia="zh-CN"/>
        </w:rPr>
        <w:t>并不得随意更换</w:t>
      </w:r>
      <w:r>
        <w:rPr>
          <w:rFonts w:hint="eastAsia" w:ascii="仿宋_GB2312" w:hAnsi="仿宋_GB2312" w:eastAsia="仿宋_GB2312" w:cs="仿宋_GB2312"/>
          <w:bCs/>
          <w:color w:val="auto"/>
          <w:sz w:val="32"/>
          <w:szCs w:val="32"/>
          <w:u w:val="none"/>
        </w:rPr>
        <w:t>。</w:t>
      </w:r>
    </w:p>
    <w:p>
      <w:pPr>
        <w:keepNext w:val="0"/>
        <w:keepLines w:val="0"/>
        <w:pageBreakBefore w:val="0"/>
        <w:widowControl/>
        <w:suppressLineNumbers w:val="0"/>
        <w:shd w:val="clear"/>
        <w:kinsoku/>
        <w:wordWrap/>
        <w:overflowPunct/>
        <w:topLinePunct w:val="0"/>
        <w:autoSpaceDE/>
        <w:autoSpaceDN/>
        <w:bidi w:val="0"/>
        <w:spacing w:beforeAutospacing="0" w:afterAutospacing="0" w:line="560" w:lineRule="exact"/>
        <w:ind w:left="0" w:right="0" w:firstLine="643" w:firstLineChars="200"/>
        <w:jc w:val="left"/>
        <w:textAlignment w:val="auto"/>
        <w:rPr>
          <w:rFonts w:hint="eastAsia" w:ascii="仿宋_GB2312" w:hAnsi="仿宋_GB2312" w:eastAsia="仿宋_GB2312" w:cs="仿宋_GB2312"/>
          <w:color w:val="auto"/>
          <w:spacing w:val="0"/>
          <w:kern w:val="0"/>
          <w:sz w:val="32"/>
          <w:szCs w:val="32"/>
          <w:u w:val="none"/>
          <w:lang w:val="en-US" w:eastAsia="zh-CN" w:bidi="ar-SA"/>
        </w:rPr>
      </w:pPr>
      <w:r>
        <w:rPr>
          <w:rFonts w:hint="eastAsia" w:ascii="仿宋_GB2312" w:hAnsi="仿宋_GB2312" w:eastAsia="仿宋_GB2312" w:cs="仿宋_GB2312"/>
          <w:b/>
          <w:bCs/>
          <w:color w:val="auto"/>
          <w:spacing w:val="0"/>
          <w:kern w:val="0"/>
          <w:sz w:val="32"/>
          <w:szCs w:val="32"/>
          <w:u w:val="none"/>
          <w:lang w:val="en-US" w:eastAsia="zh-CN" w:bidi="ar-SA"/>
        </w:rPr>
        <w:t>第十六条</w:t>
      </w:r>
      <w:r>
        <w:rPr>
          <w:rFonts w:hint="eastAsia" w:ascii="仿宋_GB2312" w:hAnsi="仿宋_GB2312" w:eastAsia="仿宋_GB2312" w:cs="仿宋_GB2312"/>
          <w:color w:val="auto"/>
          <w:spacing w:val="0"/>
          <w:kern w:val="0"/>
          <w:sz w:val="32"/>
          <w:szCs w:val="32"/>
          <w:u w:val="none"/>
          <w:lang w:val="en-US" w:eastAsia="zh-CN" w:bidi="ar-SA"/>
        </w:rPr>
        <w:t xml:space="preserve"> 二级学院应完善内部财经活动监督机制，切实保证二级学院财经活动健康有序运行。凡涉及教职工利益的财经事项须经本二级学院全体教职工会议审议表决，2/3及以上人数通过后方可执行，并在</w:t>
      </w:r>
      <w:r>
        <w:rPr>
          <w:rFonts w:hint="eastAsia" w:ascii="仿宋_GB2312" w:hAnsi="仿宋_GB2312" w:eastAsia="仿宋_GB2312" w:cs="仿宋_GB2312"/>
          <w:bCs/>
          <w:color w:val="auto"/>
          <w:sz w:val="32"/>
          <w:szCs w:val="32"/>
          <w:u w:val="none"/>
        </w:rPr>
        <w:t>一定范围内公开</w:t>
      </w:r>
      <w:r>
        <w:rPr>
          <w:rFonts w:hint="eastAsia" w:ascii="仿宋_GB2312" w:hAnsi="仿宋_GB2312" w:eastAsia="仿宋_GB2312" w:cs="仿宋_GB2312"/>
          <w:color w:val="auto"/>
          <w:spacing w:val="0"/>
          <w:kern w:val="0"/>
          <w:sz w:val="32"/>
          <w:szCs w:val="32"/>
          <w:u w:val="none"/>
          <w:lang w:val="en-US" w:eastAsia="zh-CN" w:bidi="ar-SA"/>
        </w:rPr>
        <w:t>；3万元以上支出的重大财经事项，应经二级学院党政联席会议集体讨论和决策；二级学院应每半年在本学院全体教职工会议公布一次财务收支状况和预算执行情况。</w:t>
      </w:r>
    </w:p>
    <w:p>
      <w:pPr>
        <w:pStyle w:val="3"/>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3"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b/>
          <w:bCs/>
          <w:color w:val="auto"/>
          <w:sz w:val="32"/>
          <w:szCs w:val="32"/>
          <w:u w:val="none"/>
        </w:rPr>
        <w:t>第</w:t>
      </w:r>
      <w:r>
        <w:rPr>
          <w:rFonts w:hint="eastAsia" w:ascii="仿宋_GB2312" w:hAnsi="仿宋_GB2312" w:eastAsia="仿宋_GB2312" w:cs="仿宋_GB2312"/>
          <w:b/>
          <w:bCs/>
          <w:color w:val="auto"/>
          <w:sz w:val="32"/>
          <w:szCs w:val="32"/>
          <w:u w:val="none"/>
          <w:lang w:val="en-US" w:eastAsia="zh-CN"/>
        </w:rPr>
        <w:t>十七</w:t>
      </w:r>
      <w:r>
        <w:rPr>
          <w:rFonts w:hint="eastAsia" w:ascii="仿宋_GB2312" w:hAnsi="仿宋_GB2312" w:eastAsia="仿宋_GB2312" w:cs="仿宋_GB2312"/>
          <w:b/>
          <w:bCs/>
          <w:color w:val="auto"/>
          <w:sz w:val="32"/>
          <w:szCs w:val="32"/>
          <w:u w:val="none"/>
        </w:rPr>
        <w:t>条</w:t>
      </w:r>
      <w:r>
        <w:rPr>
          <w:rFonts w:hint="eastAsia" w:ascii="仿宋_GB2312" w:hAnsi="仿宋_GB2312" w:eastAsia="仿宋_GB2312" w:cs="仿宋_GB2312"/>
          <w:color w:val="auto"/>
          <w:sz w:val="32"/>
          <w:szCs w:val="32"/>
          <w:u w:val="none"/>
        </w:rPr>
        <w:t xml:space="preserve"> </w:t>
      </w:r>
      <w:r>
        <w:rPr>
          <w:rFonts w:hint="eastAsia" w:ascii="仿宋_GB2312" w:hAnsi="仿宋_GB2312" w:eastAsia="仿宋_GB2312" w:cs="仿宋_GB2312"/>
          <w:color w:val="auto"/>
          <w:sz w:val="32"/>
          <w:szCs w:val="32"/>
          <w:u w:val="none"/>
          <w:lang w:eastAsia="zh-CN"/>
        </w:rPr>
        <w:t>学校计划</w:t>
      </w:r>
      <w:r>
        <w:rPr>
          <w:rFonts w:hint="eastAsia" w:ascii="仿宋_GB2312" w:hAnsi="仿宋_GB2312" w:eastAsia="仿宋_GB2312" w:cs="仿宋_GB2312"/>
          <w:color w:val="auto"/>
          <w:sz w:val="32"/>
          <w:szCs w:val="32"/>
          <w:u w:val="none"/>
        </w:rPr>
        <w:t>财务处</w:t>
      </w:r>
      <w:r>
        <w:rPr>
          <w:rFonts w:hint="eastAsia" w:ascii="仿宋_GB2312" w:hAnsi="仿宋_GB2312" w:eastAsia="仿宋_GB2312" w:cs="仿宋_GB2312"/>
          <w:color w:val="auto"/>
          <w:sz w:val="32"/>
          <w:szCs w:val="32"/>
          <w:u w:val="none"/>
          <w:lang w:eastAsia="zh-CN"/>
        </w:rPr>
        <w:t>应</w:t>
      </w:r>
      <w:r>
        <w:rPr>
          <w:rFonts w:hint="eastAsia" w:ascii="仿宋_GB2312" w:hAnsi="仿宋_GB2312" w:eastAsia="仿宋_GB2312" w:cs="仿宋_GB2312"/>
          <w:color w:val="auto"/>
          <w:kern w:val="0"/>
          <w:sz w:val="32"/>
          <w:szCs w:val="32"/>
          <w:u w:val="none"/>
        </w:rPr>
        <w:t>认真审核</w:t>
      </w:r>
      <w:r>
        <w:rPr>
          <w:rFonts w:hint="eastAsia" w:ascii="仿宋_GB2312" w:hAnsi="仿宋_GB2312" w:eastAsia="仿宋_GB2312" w:cs="仿宋_GB2312"/>
          <w:color w:val="auto"/>
          <w:kern w:val="0"/>
          <w:sz w:val="32"/>
          <w:szCs w:val="32"/>
          <w:u w:val="none"/>
          <w:lang w:eastAsia="zh-CN"/>
        </w:rPr>
        <w:t>二级学院</w:t>
      </w:r>
      <w:r>
        <w:rPr>
          <w:rFonts w:hint="eastAsia" w:ascii="仿宋_GB2312" w:hAnsi="仿宋_GB2312" w:eastAsia="仿宋_GB2312" w:cs="仿宋_GB2312"/>
          <w:color w:val="auto"/>
          <w:kern w:val="0"/>
          <w:sz w:val="32"/>
          <w:szCs w:val="32"/>
          <w:u w:val="none"/>
          <w:lang w:val="en-US" w:eastAsia="zh-CN"/>
        </w:rPr>
        <w:t>财务收支</w:t>
      </w:r>
      <w:r>
        <w:rPr>
          <w:rFonts w:hint="eastAsia" w:ascii="仿宋_GB2312" w:hAnsi="仿宋_GB2312" w:eastAsia="仿宋_GB2312" w:cs="仿宋_GB2312"/>
          <w:color w:val="auto"/>
          <w:kern w:val="0"/>
          <w:sz w:val="32"/>
          <w:szCs w:val="32"/>
          <w:u w:val="none"/>
        </w:rPr>
        <w:t>预算，强化预算执行。</w:t>
      </w:r>
      <w:r>
        <w:rPr>
          <w:rFonts w:hint="eastAsia" w:ascii="仿宋_GB2312" w:hAnsi="仿宋_GB2312" w:eastAsia="仿宋_GB2312" w:cs="仿宋_GB2312"/>
          <w:color w:val="auto"/>
          <w:sz w:val="32"/>
          <w:szCs w:val="32"/>
          <w:u w:val="none"/>
        </w:rPr>
        <w:t>年度预算执行结束后，应立即开展年度决算，对</w:t>
      </w:r>
      <w:r>
        <w:rPr>
          <w:rFonts w:hint="eastAsia" w:ascii="仿宋_GB2312" w:hAnsi="仿宋_GB2312" w:eastAsia="仿宋_GB2312" w:cs="仿宋_GB2312"/>
          <w:color w:val="auto"/>
          <w:sz w:val="32"/>
          <w:szCs w:val="32"/>
          <w:u w:val="none"/>
          <w:lang w:eastAsia="zh-CN"/>
        </w:rPr>
        <w:t>二级学院</w:t>
      </w:r>
      <w:r>
        <w:rPr>
          <w:rFonts w:hint="eastAsia" w:ascii="仿宋_GB2312" w:hAnsi="仿宋_GB2312" w:eastAsia="仿宋_GB2312" w:cs="仿宋_GB2312"/>
          <w:color w:val="auto"/>
          <w:sz w:val="32"/>
          <w:szCs w:val="32"/>
          <w:u w:val="none"/>
        </w:rPr>
        <w:t>预算执行情况进行检查分析</w:t>
      </w:r>
      <w:r>
        <w:rPr>
          <w:rFonts w:hint="eastAsia" w:ascii="仿宋_GB2312" w:hAnsi="仿宋_GB2312" w:eastAsia="仿宋_GB2312" w:cs="仿宋_GB2312"/>
          <w:color w:val="auto"/>
          <w:sz w:val="32"/>
          <w:szCs w:val="32"/>
          <w:u w:val="none"/>
          <w:lang w:val="en-US" w:eastAsia="zh-CN"/>
        </w:rPr>
        <w:t>和绩效评价</w:t>
      </w:r>
      <w:r>
        <w:rPr>
          <w:rFonts w:hint="eastAsia" w:ascii="仿宋_GB2312" w:hAnsi="仿宋_GB2312" w:eastAsia="仿宋_GB2312" w:cs="仿宋_GB2312"/>
          <w:color w:val="auto"/>
          <w:sz w:val="32"/>
          <w:szCs w:val="32"/>
          <w:u w:val="none"/>
        </w:rPr>
        <w:t>，并将决算情况</w:t>
      </w:r>
      <w:r>
        <w:rPr>
          <w:rFonts w:hint="eastAsia" w:ascii="仿宋_GB2312" w:hAnsi="仿宋_GB2312" w:eastAsia="仿宋_GB2312" w:cs="仿宋_GB2312"/>
          <w:color w:val="auto"/>
          <w:sz w:val="32"/>
          <w:szCs w:val="32"/>
          <w:u w:val="none"/>
          <w:lang w:val="en-US" w:eastAsia="zh-CN"/>
        </w:rPr>
        <w:t>和绩效评价结果</w:t>
      </w:r>
      <w:r>
        <w:rPr>
          <w:rFonts w:hint="eastAsia" w:ascii="仿宋_GB2312" w:hAnsi="仿宋_GB2312" w:eastAsia="仿宋_GB2312" w:cs="仿宋_GB2312"/>
          <w:color w:val="auto"/>
          <w:sz w:val="32"/>
          <w:szCs w:val="32"/>
          <w:u w:val="none"/>
        </w:rPr>
        <w:t>反馈至</w:t>
      </w:r>
      <w:r>
        <w:rPr>
          <w:rFonts w:hint="eastAsia" w:ascii="仿宋_GB2312" w:hAnsi="仿宋_GB2312" w:eastAsia="仿宋_GB2312" w:cs="仿宋_GB2312"/>
          <w:color w:val="auto"/>
          <w:sz w:val="32"/>
          <w:szCs w:val="32"/>
          <w:u w:val="none"/>
          <w:lang w:eastAsia="zh-CN"/>
        </w:rPr>
        <w:t>二级学院</w:t>
      </w:r>
      <w:r>
        <w:rPr>
          <w:rFonts w:hint="eastAsia" w:ascii="仿宋_GB2312" w:hAnsi="仿宋_GB2312" w:eastAsia="仿宋_GB2312" w:cs="仿宋_GB2312"/>
          <w:color w:val="auto"/>
          <w:sz w:val="32"/>
          <w:szCs w:val="32"/>
          <w:u w:val="none"/>
        </w:rPr>
        <w:t>，将相关经费使用情况通报有关职能部门，同时向</w:t>
      </w:r>
      <w:r>
        <w:rPr>
          <w:rFonts w:hint="eastAsia" w:ascii="仿宋_GB2312" w:hAnsi="仿宋_GB2312" w:eastAsia="仿宋_GB2312" w:cs="仿宋_GB2312"/>
          <w:color w:val="auto"/>
          <w:sz w:val="32"/>
          <w:szCs w:val="32"/>
          <w:u w:val="none"/>
          <w:lang w:val="en-US" w:eastAsia="zh-CN"/>
        </w:rPr>
        <w:t>院</w:t>
      </w:r>
      <w:r>
        <w:rPr>
          <w:rFonts w:hint="eastAsia" w:ascii="仿宋_GB2312" w:hAnsi="仿宋_GB2312" w:eastAsia="仿宋_GB2312" w:cs="仿宋_GB2312"/>
          <w:color w:val="auto"/>
          <w:sz w:val="32"/>
          <w:szCs w:val="32"/>
          <w:u w:val="none"/>
        </w:rPr>
        <w:t>长和党委会汇报。</w:t>
      </w:r>
      <w:r>
        <w:rPr>
          <w:rFonts w:hint="eastAsia" w:ascii="仿宋_GB2312" w:hAnsi="仿宋_GB2312" w:eastAsia="仿宋_GB2312" w:cs="仿宋_GB2312"/>
          <w:color w:val="auto"/>
          <w:sz w:val="32"/>
          <w:szCs w:val="32"/>
          <w:u w:val="none"/>
          <w:lang w:eastAsia="zh-CN"/>
        </w:rPr>
        <w:t>二级学院</w:t>
      </w:r>
      <w:r>
        <w:rPr>
          <w:rFonts w:hint="eastAsia" w:ascii="仿宋_GB2312" w:hAnsi="仿宋_GB2312" w:eastAsia="仿宋_GB2312" w:cs="仿宋_GB2312"/>
          <w:color w:val="auto"/>
          <w:sz w:val="32"/>
          <w:szCs w:val="32"/>
          <w:u w:val="none"/>
        </w:rPr>
        <w:t>预算执行检查结果纳入学校对</w:t>
      </w:r>
      <w:r>
        <w:rPr>
          <w:rFonts w:hint="eastAsia" w:ascii="仿宋_GB2312" w:hAnsi="仿宋_GB2312" w:eastAsia="仿宋_GB2312" w:cs="仿宋_GB2312"/>
          <w:color w:val="auto"/>
          <w:sz w:val="32"/>
          <w:szCs w:val="32"/>
          <w:u w:val="none"/>
          <w:lang w:eastAsia="zh-CN"/>
        </w:rPr>
        <w:t>二级学院</w:t>
      </w:r>
      <w:r>
        <w:rPr>
          <w:rFonts w:hint="eastAsia" w:ascii="仿宋_GB2312" w:hAnsi="仿宋_GB2312" w:eastAsia="仿宋_GB2312" w:cs="仿宋_GB2312"/>
          <w:color w:val="auto"/>
          <w:sz w:val="32"/>
          <w:szCs w:val="32"/>
          <w:u w:val="none"/>
        </w:rPr>
        <w:t>的年终考核。</w:t>
      </w:r>
    </w:p>
    <w:p>
      <w:pPr>
        <w:pStyle w:val="3"/>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3"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b/>
          <w:bCs/>
          <w:color w:val="auto"/>
          <w:sz w:val="32"/>
          <w:szCs w:val="32"/>
          <w:u w:val="none"/>
        </w:rPr>
        <w:t>第</w:t>
      </w:r>
      <w:r>
        <w:rPr>
          <w:rFonts w:hint="eastAsia" w:ascii="仿宋_GB2312" w:hAnsi="仿宋_GB2312" w:eastAsia="仿宋_GB2312" w:cs="仿宋_GB2312"/>
          <w:b/>
          <w:bCs/>
          <w:color w:val="auto"/>
          <w:sz w:val="32"/>
          <w:szCs w:val="32"/>
          <w:u w:val="none"/>
          <w:lang w:val="en-US" w:eastAsia="zh-CN"/>
        </w:rPr>
        <w:t>十八</w:t>
      </w:r>
      <w:r>
        <w:rPr>
          <w:rFonts w:hint="eastAsia" w:ascii="仿宋_GB2312" w:hAnsi="仿宋_GB2312" w:eastAsia="仿宋_GB2312" w:cs="仿宋_GB2312"/>
          <w:b/>
          <w:bCs/>
          <w:color w:val="auto"/>
          <w:sz w:val="32"/>
          <w:szCs w:val="32"/>
          <w:u w:val="none"/>
        </w:rPr>
        <w:t>条</w:t>
      </w:r>
      <w:r>
        <w:rPr>
          <w:rFonts w:hint="eastAsia" w:ascii="仿宋_GB2312" w:hAnsi="仿宋_GB2312" w:eastAsia="仿宋_GB2312" w:cs="仿宋_GB2312"/>
          <w:color w:val="auto"/>
          <w:sz w:val="32"/>
          <w:szCs w:val="32"/>
          <w:u w:val="none"/>
        </w:rPr>
        <w:t xml:space="preserve"> </w:t>
      </w:r>
      <w:r>
        <w:rPr>
          <w:rFonts w:hint="eastAsia" w:ascii="仿宋_GB2312" w:hAnsi="仿宋_GB2312" w:eastAsia="仿宋_GB2312" w:cs="仿宋_GB2312"/>
          <w:color w:val="auto"/>
          <w:kern w:val="0"/>
          <w:sz w:val="32"/>
          <w:szCs w:val="32"/>
          <w:u w:val="none"/>
        </w:rPr>
        <w:t>学校</w:t>
      </w:r>
      <w:r>
        <w:rPr>
          <w:rFonts w:hint="eastAsia" w:ascii="仿宋_GB2312" w:hAnsi="仿宋_GB2312" w:eastAsia="仿宋_GB2312" w:cs="仿宋_GB2312"/>
          <w:color w:val="auto"/>
          <w:kern w:val="0"/>
          <w:sz w:val="32"/>
          <w:szCs w:val="32"/>
          <w:u w:val="none"/>
          <w:lang w:eastAsia="zh-CN"/>
        </w:rPr>
        <w:t>各</w:t>
      </w:r>
      <w:r>
        <w:rPr>
          <w:rFonts w:hint="eastAsia" w:ascii="仿宋_GB2312" w:hAnsi="仿宋_GB2312" w:eastAsia="仿宋_GB2312" w:cs="仿宋_GB2312"/>
          <w:color w:val="auto"/>
          <w:kern w:val="0"/>
          <w:sz w:val="32"/>
          <w:szCs w:val="32"/>
          <w:u w:val="none"/>
        </w:rPr>
        <w:t>相关</w:t>
      </w:r>
      <w:r>
        <w:rPr>
          <w:rFonts w:hint="eastAsia" w:ascii="仿宋_GB2312" w:hAnsi="仿宋_GB2312" w:eastAsia="仿宋_GB2312" w:cs="仿宋_GB2312"/>
          <w:color w:val="auto"/>
          <w:kern w:val="0"/>
          <w:sz w:val="32"/>
          <w:szCs w:val="32"/>
          <w:u w:val="none"/>
          <w:lang w:eastAsia="zh-CN"/>
        </w:rPr>
        <w:t>职能</w:t>
      </w:r>
      <w:r>
        <w:rPr>
          <w:rFonts w:hint="eastAsia" w:ascii="仿宋_GB2312" w:hAnsi="仿宋_GB2312" w:eastAsia="仿宋_GB2312" w:cs="仿宋_GB2312"/>
          <w:color w:val="auto"/>
          <w:kern w:val="0"/>
          <w:sz w:val="32"/>
          <w:szCs w:val="32"/>
          <w:u w:val="none"/>
        </w:rPr>
        <w:t>部门要充分发挥监督检查作用，强化对相关经费使用情况的检查和工作目标任务的考核，确保学</w:t>
      </w:r>
    </w:p>
    <w:p>
      <w:pPr>
        <w:pStyle w:val="3"/>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left="0" w:leftChars="0" w:firstLine="0" w:firstLineChars="0"/>
        <w:textAlignment w:val="auto"/>
        <w:rPr>
          <w:rFonts w:hint="eastAsia" w:ascii="仿宋_GB2312" w:hAnsi="仿宋_GB2312" w:eastAsia="仿宋_GB2312" w:cs="仿宋_GB2312"/>
          <w:color w:val="auto"/>
          <w:kern w:val="0"/>
          <w:sz w:val="32"/>
          <w:szCs w:val="32"/>
          <w:u w:val="none"/>
        </w:rPr>
      </w:pPr>
      <w:r>
        <w:rPr>
          <w:rFonts w:hint="eastAsia" w:ascii="仿宋_GB2312" w:hAnsi="仿宋_GB2312" w:eastAsia="仿宋_GB2312" w:cs="仿宋_GB2312"/>
          <w:color w:val="auto"/>
          <w:kern w:val="0"/>
          <w:sz w:val="32"/>
          <w:szCs w:val="32"/>
          <w:u w:val="none"/>
        </w:rPr>
        <w:t>校经济运行更加规范、安全和有效。</w:t>
      </w:r>
    </w:p>
    <w:p>
      <w:pPr>
        <w:pStyle w:val="3"/>
        <w:keepNext w:val="0"/>
        <w:keepLines w:val="0"/>
        <w:pageBreakBefore w:val="0"/>
        <w:widowControl/>
        <w:kinsoku/>
        <w:wordWrap/>
        <w:overflowPunct/>
        <w:topLinePunct w:val="0"/>
        <w:bidi w:val="0"/>
        <w:adjustRightInd w:val="0"/>
        <w:snapToGrid w:val="0"/>
        <w:spacing w:line="560" w:lineRule="exact"/>
        <w:ind w:firstLine="643"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b/>
          <w:bCs/>
          <w:color w:val="auto"/>
          <w:sz w:val="32"/>
          <w:szCs w:val="32"/>
          <w:u w:val="none"/>
        </w:rPr>
        <w:t>第</w:t>
      </w:r>
      <w:r>
        <w:rPr>
          <w:rFonts w:hint="eastAsia" w:ascii="仿宋_GB2312" w:hAnsi="仿宋_GB2312" w:eastAsia="仿宋_GB2312" w:cs="仿宋_GB2312"/>
          <w:b/>
          <w:bCs/>
          <w:color w:val="auto"/>
          <w:sz w:val="32"/>
          <w:szCs w:val="32"/>
          <w:u w:val="none"/>
          <w:lang w:val="en-US" w:eastAsia="zh-CN"/>
        </w:rPr>
        <w:t>十九</w:t>
      </w:r>
      <w:r>
        <w:rPr>
          <w:rFonts w:hint="eastAsia" w:ascii="仿宋_GB2312" w:hAnsi="仿宋_GB2312" w:eastAsia="仿宋_GB2312" w:cs="仿宋_GB2312"/>
          <w:b/>
          <w:bCs/>
          <w:color w:val="auto"/>
          <w:sz w:val="32"/>
          <w:szCs w:val="32"/>
          <w:u w:val="none"/>
        </w:rPr>
        <w:t>条</w:t>
      </w:r>
      <w:r>
        <w:rPr>
          <w:rFonts w:hint="eastAsia" w:ascii="仿宋_GB2312" w:hAnsi="仿宋_GB2312" w:eastAsia="仿宋_GB2312" w:cs="仿宋_GB2312"/>
          <w:color w:val="auto"/>
          <w:sz w:val="32"/>
          <w:szCs w:val="32"/>
          <w:u w:val="none"/>
        </w:rPr>
        <w:t xml:space="preserve"> 在</w:t>
      </w:r>
      <w:r>
        <w:rPr>
          <w:rFonts w:hint="eastAsia" w:ascii="仿宋_GB2312" w:hAnsi="仿宋_GB2312" w:eastAsia="仿宋_GB2312" w:cs="仿宋_GB2312"/>
          <w:color w:val="auto"/>
          <w:sz w:val="32"/>
          <w:szCs w:val="32"/>
          <w:u w:val="none"/>
          <w:lang w:eastAsia="zh-CN"/>
        </w:rPr>
        <w:t>二级学院</w:t>
      </w:r>
      <w:r>
        <w:rPr>
          <w:rFonts w:hint="eastAsia" w:ascii="仿宋_GB2312" w:hAnsi="仿宋_GB2312" w:eastAsia="仿宋_GB2312" w:cs="仿宋_GB2312"/>
          <w:color w:val="auto"/>
          <w:sz w:val="32"/>
          <w:szCs w:val="32"/>
          <w:u w:val="none"/>
        </w:rPr>
        <w:t>预算执行过程中，</w:t>
      </w:r>
      <w:r>
        <w:rPr>
          <w:rFonts w:hint="eastAsia" w:ascii="仿宋_GB2312" w:hAnsi="仿宋_GB2312" w:eastAsia="仿宋_GB2312" w:cs="仿宋_GB2312"/>
          <w:color w:val="auto"/>
          <w:kern w:val="0"/>
          <w:sz w:val="32"/>
          <w:szCs w:val="32"/>
          <w:u w:val="none"/>
        </w:rPr>
        <w:t>发生重大经济责任事故的，由相关部门对责任人进行处理，</w:t>
      </w:r>
      <w:r>
        <w:rPr>
          <w:rFonts w:hint="eastAsia" w:ascii="仿宋_GB2312" w:hAnsi="仿宋_GB2312" w:eastAsia="仿宋_GB2312" w:cs="仿宋_GB2312"/>
          <w:color w:val="auto"/>
          <w:kern w:val="0"/>
          <w:sz w:val="32"/>
          <w:szCs w:val="32"/>
          <w:u w:val="none"/>
          <w:lang w:eastAsia="zh-CN"/>
        </w:rPr>
        <w:t>涉嫌违纪违法的，依法依规移交纪检监察机关和司法机关处理</w:t>
      </w:r>
      <w:r>
        <w:rPr>
          <w:rFonts w:hint="eastAsia" w:ascii="仿宋_GB2312" w:hAnsi="仿宋_GB2312" w:eastAsia="仿宋_GB2312" w:cs="仿宋_GB2312"/>
          <w:color w:val="auto"/>
          <w:kern w:val="0"/>
          <w:sz w:val="32"/>
          <w:szCs w:val="32"/>
          <w:u w:val="none"/>
        </w:rPr>
        <w:t>。</w:t>
      </w:r>
    </w:p>
    <w:p>
      <w:pPr>
        <w:keepNext w:val="0"/>
        <w:keepLines w:val="0"/>
        <w:pageBreakBefore w:val="0"/>
        <w:widowControl/>
        <w:kinsoku/>
        <w:wordWrap/>
        <w:overflowPunct/>
        <w:topLinePunct w:val="0"/>
        <w:autoSpaceDE/>
        <w:autoSpaceDN/>
        <w:bidi w:val="0"/>
        <w:adjustRightInd/>
        <w:snapToGrid/>
        <w:spacing w:before="157" w:beforeLines="50" w:after="157" w:afterLines="50" w:line="560" w:lineRule="exact"/>
        <w:jc w:val="center"/>
        <w:textAlignment w:val="auto"/>
        <w:rPr>
          <w:rFonts w:hint="eastAsia" w:ascii="黑体" w:hAnsi="黑体" w:eastAsia="黑体" w:cs="黑体"/>
          <w:b w:val="0"/>
          <w:bCs w:val="0"/>
          <w:color w:val="auto"/>
          <w:sz w:val="32"/>
          <w:szCs w:val="32"/>
          <w:u w:val="none"/>
          <w:lang w:eastAsia="zh-CN"/>
        </w:rPr>
      </w:pPr>
      <w:r>
        <w:rPr>
          <w:rFonts w:hint="eastAsia" w:ascii="黑体" w:hAnsi="黑体" w:eastAsia="黑体" w:cs="黑体"/>
          <w:b w:val="0"/>
          <w:bCs w:val="0"/>
          <w:color w:val="auto"/>
          <w:sz w:val="32"/>
          <w:szCs w:val="32"/>
          <w:u w:val="none"/>
          <w:lang w:eastAsia="zh-CN"/>
        </w:rPr>
        <w:t>第七章  附则</w:t>
      </w:r>
    </w:p>
    <w:p>
      <w:pPr>
        <w:pStyle w:val="3"/>
        <w:keepNext w:val="0"/>
        <w:keepLines w:val="0"/>
        <w:pageBreakBefore w:val="0"/>
        <w:widowControl/>
        <w:kinsoku/>
        <w:wordWrap/>
        <w:overflowPunct/>
        <w:topLinePunct w:val="0"/>
        <w:bidi w:val="0"/>
        <w:adjustRightInd w:val="0"/>
        <w:snapToGrid w:val="0"/>
        <w:spacing w:line="560" w:lineRule="exact"/>
        <w:ind w:firstLine="643" w:firstLineChars="200"/>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b/>
          <w:bCs/>
          <w:color w:val="auto"/>
          <w:sz w:val="32"/>
          <w:szCs w:val="32"/>
          <w:u w:val="none"/>
          <w:lang w:val="en-US" w:eastAsia="zh-CN"/>
        </w:rPr>
        <w:t>第二十条</w:t>
      </w:r>
      <w:r>
        <w:rPr>
          <w:rFonts w:hint="eastAsia" w:ascii="仿宋_GB2312" w:hAnsi="仿宋_GB2312" w:eastAsia="仿宋_GB2312" w:cs="仿宋_GB2312"/>
          <w:color w:val="auto"/>
          <w:sz w:val="32"/>
          <w:szCs w:val="32"/>
          <w:u w:val="none"/>
          <w:lang w:val="en-US" w:eastAsia="zh-CN"/>
        </w:rPr>
        <w:t xml:space="preserve"> </w:t>
      </w:r>
      <w:r>
        <w:rPr>
          <w:rFonts w:hint="eastAsia" w:ascii="仿宋_GB2312" w:hAnsi="仿宋_GB2312" w:eastAsia="仿宋_GB2312" w:cs="仿宋_GB2312"/>
          <w:color w:val="auto"/>
          <w:sz w:val="32"/>
          <w:szCs w:val="32"/>
          <w:u w:val="none"/>
        </w:rPr>
        <w:t>本</w:t>
      </w:r>
      <w:r>
        <w:rPr>
          <w:rFonts w:hint="eastAsia" w:ascii="仿宋_GB2312" w:hAnsi="仿宋_GB2312" w:eastAsia="仿宋_GB2312" w:cs="仿宋_GB2312"/>
          <w:color w:val="auto"/>
          <w:sz w:val="32"/>
          <w:szCs w:val="32"/>
          <w:u w:val="none"/>
          <w:lang w:eastAsia="zh-CN"/>
        </w:rPr>
        <w:t>细则</w:t>
      </w:r>
      <w:r>
        <w:rPr>
          <w:rFonts w:hint="eastAsia" w:ascii="仿宋_GB2312" w:hAnsi="仿宋_GB2312" w:eastAsia="仿宋_GB2312" w:cs="仿宋_GB2312"/>
          <w:color w:val="auto"/>
          <w:sz w:val="32"/>
          <w:szCs w:val="32"/>
          <w:u w:val="none"/>
        </w:rPr>
        <w:t>由</w:t>
      </w:r>
      <w:r>
        <w:rPr>
          <w:rFonts w:hint="eastAsia" w:ascii="仿宋_GB2312" w:hAnsi="仿宋_GB2312" w:eastAsia="仿宋_GB2312" w:cs="仿宋_GB2312"/>
          <w:color w:val="auto"/>
          <w:sz w:val="32"/>
          <w:szCs w:val="32"/>
          <w:u w:val="none"/>
          <w:lang w:eastAsia="zh-CN"/>
        </w:rPr>
        <w:t>计划</w:t>
      </w:r>
      <w:r>
        <w:rPr>
          <w:rFonts w:hint="eastAsia" w:ascii="仿宋_GB2312" w:hAnsi="仿宋_GB2312" w:eastAsia="仿宋_GB2312" w:cs="仿宋_GB2312"/>
          <w:color w:val="auto"/>
          <w:sz w:val="32"/>
          <w:szCs w:val="32"/>
          <w:u w:val="none"/>
        </w:rPr>
        <w:t>财务处负责解释</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pacing w:val="-2"/>
          <w:sz w:val="32"/>
          <w:szCs w:val="32"/>
          <w:u w:val="none"/>
        </w:rPr>
        <w:t>自</w:t>
      </w:r>
      <w:r>
        <w:rPr>
          <w:rFonts w:hint="eastAsia" w:ascii="仿宋_GB2312" w:hAnsi="仿宋_GB2312" w:eastAsia="仿宋_GB2312" w:cs="仿宋_GB2312"/>
          <w:color w:val="auto"/>
          <w:spacing w:val="-2"/>
          <w:sz w:val="32"/>
          <w:szCs w:val="32"/>
          <w:u w:val="none"/>
          <w:lang w:val="en-US" w:eastAsia="zh-CN"/>
        </w:rPr>
        <w:t>发布之日</w:t>
      </w:r>
      <w:r>
        <w:rPr>
          <w:rFonts w:hint="eastAsia" w:ascii="仿宋_GB2312" w:hAnsi="仿宋_GB2312" w:eastAsia="仿宋_GB2312" w:cs="仿宋_GB2312"/>
          <w:color w:val="auto"/>
          <w:spacing w:val="-2"/>
          <w:sz w:val="32"/>
          <w:szCs w:val="32"/>
          <w:u w:val="none"/>
        </w:rPr>
        <w:t>起试行，</w:t>
      </w:r>
      <w:r>
        <w:rPr>
          <w:rFonts w:hint="eastAsia" w:ascii="仿宋_GB2312" w:hAnsi="仿宋_GB2312" w:eastAsia="仿宋_GB2312" w:cs="仿宋_GB2312"/>
          <w:color w:val="auto"/>
          <w:spacing w:val="-2"/>
          <w:sz w:val="32"/>
          <w:szCs w:val="32"/>
          <w:u w:val="none"/>
          <w:lang w:val="en-US" w:eastAsia="zh-CN"/>
        </w:rPr>
        <w:t>试行期一年</w:t>
      </w:r>
      <w:r>
        <w:rPr>
          <w:rFonts w:hint="eastAsia" w:ascii="仿宋_GB2312" w:hAnsi="仿宋_GB2312" w:eastAsia="仿宋_GB2312" w:cs="仿宋_GB2312"/>
          <w:color w:val="auto"/>
          <w:sz w:val="32"/>
          <w:szCs w:val="32"/>
          <w:u w:val="none"/>
          <w:lang w:val="en-US" w:eastAsia="zh-CN"/>
        </w:rPr>
        <w:t>。</w:t>
      </w:r>
    </w:p>
    <w:p>
      <w:pPr>
        <w:keepNext w:val="0"/>
        <w:keepLines w:val="0"/>
        <w:pageBreakBefore w:val="0"/>
        <w:widowControl/>
        <w:suppressLineNumbers w:val="0"/>
        <w:kinsoku/>
        <w:wordWrap/>
        <w:overflowPunct/>
        <w:topLinePunct w:val="0"/>
        <w:bidi w:val="0"/>
        <w:spacing w:line="560" w:lineRule="exact"/>
        <w:jc w:val="both"/>
        <w:textAlignment w:val="auto"/>
        <w:rPr>
          <w:rFonts w:hint="default" w:ascii="仿宋" w:hAnsi="仿宋" w:eastAsia="仿宋"/>
          <w:color w:val="auto"/>
          <w:sz w:val="30"/>
          <w:szCs w:val="30"/>
          <w:u w:val="none"/>
          <w:lang w:val="en-US" w:eastAsia="zh-CN"/>
        </w:rPr>
      </w:pPr>
    </w:p>
    <w:sectPr>
      <w:headerReference r:id="rId4" w:type="first"/>
      <w:footerReference r:id="rId7" w:type="first"/>
      <w:footerReference r:id="rId5" w:type="default"/>
      <w:headerReference r:id="rId3" w:type="even"/>
      <w:footerReference r:id="rId6" w:type="even"/>
      <w:pgSz w:w="11906" w:h="16838"/>
      <w:pgMar w:top="1440" w:right="1531" w:bottom="1440" w:left="1531" w:header="851" w:footer="1020" w:gutter="0"/>
      <w:pgNumType w:fmt="numberInDash"/>
      <w:cols w:space="0" w:num="1"/>
      <w:rtlGutter w:val="0"/>
      <w:docGrid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Math">
    <w:panose1 w:val="02040503050406030204"/>
    <w:charset w:val="00"/>
    <w:family w:val="roman"/>
    <w:pitch w:val="default"/>
    <w:sig w:usb0="E00002FF" w:usb1="42002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Meiryo">
    <w:panose1 w:val="020B0604030504040204"/>
    <w:charset w:val="80"/>
    <w:family w:val="swiss"/>
    <w:pitch w:val="default"/>
    <w:sig w:usb0="E10102FF" w:usb1="EAC7FFFF" w:usb2="00010012" w:usb3="00000000" w:csb0="6002009F" w:csb1="DFD7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120"/>
      <w:ind w:right="360"/>
      <w:rPr>
        <w:rFonts w:asciiTheme="minorEastAsia" w:hAnsiTheme="minorEastAsia" w:eastAsiaTheme="minorEastAsia"/>
      </w:rPr>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  \* MERGEFORMAT </w:instrText>
                          </w:r>
                          <w:r>
                            <w:rPr>
                              <w:rFonts w:hint="eastAsia" w:ascii="仿宋" w:hAnsi="仿宋" w:eastAsia="仿宋" w:cs="仿宋"/>
                              <w:sz w:val="32"/>
                              <w:szCs w:val="32"/>
                            </w:rPr>
                            <w:fldChar w:fldCharType="separate"/>
                          </w:r>
                          <w:r>
                            <w:rPr>
                              <w:rFonts w:hint="eastAsia" w:ascii="仿宋" w:hAnsi="仿宋" w:eastAsia="仿宋" w:cs="仿宋"/>
                              <w:sz w:val="32"/>
                              <w:szCs w:val="32"/>
                            </w:rPr>
                            <w:t>- 1 -</w:t>
                          </w:r>
                          <w:r>
                            <w:rPr>
                              <w:rFonts w:hint="eastAsia" w:ascii="仿宋" w:hAnsi="仿宋" w:eastAsia="仿宋" w:cs="仿宋"/>
                              <w:sz w:val="32"/>
                              <w:szCs w:val="32"/>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  \* MERGEFORMAT </w:instrText>
                    </w:r>
                    <w:r>
                      <w:rPr>
                        <w:rFonts w:hint="eastAsia" w:ascii="仿宋" w:hAnsi="仿宋" w:eastAsia="仿宋" w:cs="仿宋"/>
                        <w:sz w:val="32"/>
                        <w:szCs w:val="32"/>
                      </w:rPr>
                      <w:fldChar w:fldCharType="separate"/>
                    </w:r>
                    <w:r>
                      <w:rPr>
                        <w:rFonts w:hint="eastAsia" w:ascii="仿宋" w:hAnsi="仿宋" w:eastAsia="仿宋" w:cs="仿宋"/>
                        <w:sz w:val="32"/>
                        <w:szCs w:val="32"/>
                      </w:rPr>
                      <w:t>- 1 -</w:t>
                    </w:r>
                    <w:r>
                      <w:rPr>
                        <w:rFonts w:hint="eastAsia" w:ascii="仿宋" w:hAnsi="仿宋" w:eastAsia="仿宋" w:cs="仿宋"/>
                        <w:sz w:val="32"/>
                        <w:szCs w:val="3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spacing w:before="120"/>
      <w:ind w:firstLine="360"/>
      <w:rPr>
        <w:rStyle w:val="8"/>
      </w:rPr>
    </w:pPr>
    <w:r>
      <w:rPr>
        <w:rStyle w:val="8"/>
      </w:rPr>
      <w:fldChar w:fldCharType="begin"/>
    </w:r>
    <w:r>
      <w:rPr>
        <w:rStyle w:val="8"/>
      </w:rPr>
      <w:instrText xml:space="preserve">PAGE  </w:instrText>
    </w:r>
    <w:r>
      <w:rPr>
        <w:rStyle w:val="8"/>
      </w:rPr>
      <w:fldChar w:fldCharType="end"/>
    </w:r>
  </w:p>
  <w:p>
    <w:pPr>
      <w:pStyle w:val="2"/>
      <w:spacing w:before="120"/>
      <w:ind w:right="360" w:firstLine="35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120"/>
      <w:ind w:firstLine="35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before="120"/>
      <w:ind w:firstLine="35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before="120"/>
      <w:ind w:firstLine="35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hY2Y3NGJiYTRmYTNmODUyYzgxMDlhZDkyYWU3MjUifQ=="/>
  </w:docVars>
  <w:rsids>
    <w:rsidRoot w:val="00AA117E"/>
    <w:rsid w:val="00017306"/>
    <w:rsid w:val="000304A1"/>
    <w:rsid w:val="0003385F"/>
    <w:rsid w:val="00047D35"/>
    <w:rsid w:val="00077FF7"/>
    <w:rsid w:val="000843CC"/>
    <w:rsid w:val="00087724"/>
    <w:rsid w:val="00087F50"/>
    <w:rsid w:val="000B4327"/>
    <w:rsid w:val="000C07CA"/>
    <w:rsid w:val="000D4B7E"/>
    <w:rsid w:val="000D671B"/>
    <w:rsid w:val="000E55F8"/>
    <w:rsid w:val="000E7C02"/>
    <w:rsid w:val="00113660"/>
    <w:rsid w:val="0011418C"/>
    <w:rsid w:val="00115B4F"/>
    <w:rsid w:val="0012592D"/>
    <w:rsid w:val="00133F50"/>
    <w:rsid w:val="00145D67"/>
    <w:rsid w:val="00151162"/>
    <w:rsid w:val="00154067"/>
    <w:rsid w:val="0016479C"/>
    <w:rsid w:val="00172DDC"/>
    <w:rsid w:val="00193DF7"/>
    <w:rsid w:val="001A2B8C"/>
    <w:rsid w:val="001C28D5"/>
    <w:rsid w:val="001C447A"/>
    <w:rsid w:val="001C67F2"/>
    <w:rsid w:val="002042F8"/>
    <w:rsid w:val="002118D4"/>
    <w:rsid w:val="00215725"/>
    <w:rsid w:val="00222A27"/>
    <w:rsid w:val="0022399A"/>
    <w:rsid w:val="00225295"/>
    <w:rsid w:val="002307AF"/>
    <w:rsid w:val="00243240"/>
    <w:rsid w:val="00255692"/>
    <w:rsid w:val="00277D36"/>
    <w:rsid w:val="00286337"/>
    <w:rsid w:val="00290551"/>
    <w:rsid w:val="002A060E"/>
    <w:rsid w:val="002A0B86"/>
    <w:rsid w:val="002A29BC"/>
    <w:rsid w:val="002C63F2"/>
    <w:rsid w:val="002D4B1F"/>
    <w:rsid w:val="002E40C7"/>
    <w:rsid w:val="002E4E91"/>
    <w:rsid w:val="002E5D54"/>
    <w:rsid w:val="002F1F6E"/>
    <w:rsid w:val="00317A55"/>
    <w:rsid w:val="00320E8F"/>
    <w:rsid w:val="00321E6A"/>
    <w:rsid w:val="00325FBE"/>
    <w:rsid w:val="00335C80"/>
    <w:rsid w:val="00350436"/>
    <w:rsid w:val="003635C3"/>
    <w:rsid w:val="003751B0"/>
    <w:rsid w:val="003776D7"/>
    <w:rsid w:val="0038553C"/>
    <w:rsid w:val="00390F52"/>
    <w:rsid w:val="003A5318"/>
    <w:rsid w:val="003A793B"/>
    <w:rsid w:val="003B2530"/>
    <w:rsid w:val="003C3CAA"/>
    <w:rsid w:val="003E0E38"/>
    <w:rsid w:val="003F47D0"/>
    <w:rsid w:val="00405815"/>
    <w:rsid w:val="00430EEF"/>
    <w:rsid w:val="00435238"/>
    <w:rsid w:val="00436682"/>
    <w:rsid w:val="00454CBA"/>
    <w:rsid w:val="00466EBC"/>
    <w:rsid w:val="00481283"/>
    <w:rsid w:val="00485667"/>
    <w:rsid w:val="00485B7A"/>
    <w:rsid w:val="004A2BAC"/>
    <w:rsid w:val="004A2C82"/>
    <w:rsid w:val="004A64B3"/>
    <w:rsid w:val="004C0757"/>
    <w:rsid w:val="004D08DE"/>
    <w:rsid w:val="004E36AA"/>
    <w:rsid w:val="00514F3B"/>
    <w:rsid w:val="00525960"/>
    <w:rsid w:val="00527A8F"/>
    <w:rsid w:val="005458A7"/>
    <w:rsid w:val="005745B6"/>
    <w:rsid w:val="00584BB1"/>
    <w:rsid w:val="00595006"/>
    <w:rsid w:val="00596984"/>
    <w:rsid w:val="005977A8"/>
    <w:rsid w:val="005A5D4E"/>
    <w:rsid w:val="005C33E3"/>
    <w:rsid w:val="005F0C9A"/>
    <w:rsid w:val="005F38C1"/>
    <w:rsid w:val="006045C5"/>
    <w:rsid w:val="006048E0"/>
    <w:rsid w:val="0061177B"/>
    <w:rsid w:val="0061380F"/>
    <w:rsid w:val="00621EF1"/>
    <w:rsid w:val="00630C81"/>
    <w:rsid w:val="00647CB6"/>
    <w:rsid w:val="00677482"/>
    <w:rsid w:val="0068159F"/>
    <w:rsid w:val="006878A8"/>
    <w:rsid w:val="0069054B"/>
    <w:rsid w:val="0069703C"/>
    <w:rsid w:val="006972CB"/>
    <w:rsid w:val="006B1F13"/>
    <w:rsid w:val="006E49A8"/>
    <w:rsid w:val="006F3E6F"/>
    <w:rsid w:val="00703363"/>
    <w:rsid w:val="00714F0A"/>
    <w:rsid w:val="00726166"/>
    <w:rsid w:val="007309C6"/>
    <w:rsid w:val="00746F3C"/>
    <w:rsid w:val="00754FA5"/>
    <w:rsid w:val="007652B0"/>
    <w:rsid w:val="007656DF"/>
    <w:rsid w:val="00772499"/>
    <w:rsid w:val="00784EB4"/>
    <w:rsid w:val="007A444D"/>
    <w:rsid w:val="007C11DD"/>
    <w:rsid w:val="007D1C5C"/>
    <w:rsid w:val="008238F5"/>
    <w:rsid w:val="00873732"/>
    <w:rsid w:val="00875949"/>
    <w:rsid w:val="008869C7"/>
    <w:rsid w:val="00892406"/>
    <w:rsid w:val="008926E9"/>
    <w:rsid w:val="00893477"/>
    <w:rsid w:val="00897418"/>
    <w:rsid w:val="008A4178"/>
    <w:rsid w:val="008B1A10"/>
    <w:rsid w:val="008B7600"/>
    <w:rsid w:val="008C4609"/>
    <w:rsid w:val="008C538A"/>
    <w:rsid w:val="008D5831"/>
    <w:rsid w:val="008D7390"/>
    <w:rsid w:val="008E79AA"/>
    <w:rsid w:val="009045D3"/>
    <w:rsid w:val="009109F0"/>
    <w:rsid w:val="00935402"/>
    <w:rsid w:val="00941EB8"/>
    <w:rsid w:val="0095440B"/>
    <w:rsid w:val="00956D70"/>
    <w:rsid w:val="00966086"/>
    <w:rsid w:val="009842DD"/>
    <w:rsid w:val="009976FB"/>
    <w:rsid w:val="009B278D"/>
    <w:rsid w:val="009E55F0"/>
    <w:rsid w:val="00A124D9"/>
    <w:rsid w:val="00A50956"/>
    <w:rsid w:val="00A6048B"/>
    <w:rsid w:val="00A70020"/>
    <w:rsid w:val="00A748B5"/>
    <w:rsid w:val="00A75F39"/>
    <w:rsid w:val="00A776CE"/>
    <w:rsid w:val="00AA117E"/>
    <w:rsid w:val="00AB106B"/>
    <w:rsid w:val="00AB12A5"/>
    <w:rsid w:val="00AB313A"/>
    <w:rsid w:val="00AB6CB0"/>
    <w:rsid w:val="00AC28D6"/>
    <w:rsid w:val="00AD0DE1"/>
    <w:rsid w:val="00AE1334"/>
    <w:rsid w:val="00AF1C9D"/>
    <w:rsid w:val="00B161F3"/>
    <w:rsid w:val="00B56A4D"/>
    <w:rsid w:val="00B57F81"/>
    <w:rsid w:val="00B66F95"/>
    <w:rsid w:val="00B80D5C"/>
    <w:rsid w:val="00B84982"/>
    <w:rsid w:val="00B93C6F"/>
    <w:rsid w:val="00BA4370"/>
    <w:rsid w:val="00BB1902"/>
    <w:rsid w:val="00BC3EB1"/>
    <w:rsid w:val="00BC7046"/>
    <w:rsid w:val="00BD3BCD"/>
    <w:rsid w:val="00BE6B38"/>
    <w:rsid w:val="00BF3DA7"/>
    <w:rsid w:val="00C10802"/>
    <w:rsid w:val="00C12DEA"/>
    <w:rsid w:val="00C2372F"/>
    <w:rsid w:val="00C272B2"/>
    <w:rsid w:val="00C31D04"/>
    <w:rsid w:val="00C35ABA"/>
    <w:rsid w:val="00C44AF9"/>
    <w:rsid w:val="00C45215"/>
    <w:rsid w:val="00C51722"/>
    <w:rsid w:val="00C629BE"/>
    <w:rsid w:val="00C8335C"/>
    <w:rsid w:val="00CA0BEE"/>
    <w:rsid w:val="00CA0F22"/>
    <w:rsid w:val="00CA1312"/>
    <w:rsid w:val="00CD4FBA"/>
    <w:rsid w:val="00CF16A2"/>
    <w:rsid w:val="00D43B52"/>
    <w:rsid w:val="00D50FF9"/>
    <w:rsid w:val="00D74EBC"/>
    <w:rsid w:val="00D752AC"/>
    <w:rsid w:val="00D77266"/>
    <w:rsid w:val="00D80CD3"/>
    <w:rsid w:val="00D875BC"/>
    <w:rsid w:val="00D90CDA"/>
    <w:rsid w:val="00DA57C9"/>
    <w:rsid w:val="00DB43EA"/>
    <w:rsid w:val="00DB767C"/>
    <w:rsid w:val="00DC63BB"/>
    <w:rsid w:val="00DC6953"/>
    <w:rsid w:val="00DE7101"/>
    <w:rsid w:val="00E00198"/>
    <w:rsid w:val="00E0477F"/>
    <w:rsid w:val="00E15F15"/>
    <w:rsid w:val="00E23362"/>
    <w:rsid w:val="00E36CB6"/>
    <w:rsid w:val="00E430EC"/>
    <w:rsid w:val="00E45DD8"/>
    <w:rsid w:val="00E61EDD"/>
    <w:rsid w:val="00E65842"/>
    <w:rsid w:val="00E67B8D"/>
    <w:rsid w:val="00E81F10"/>
    <w:rsid w:val="00E87B4F"/>
    <w:rsid w:val="00E90365"/>
    <w:rsid w:val="00EC7C49"/>
    <w:rsid w:val="00ED1E9C"/>
    <w:rsid w:val="00F17518"/>
    <w:rsid w:val="00F41B8D"/>
    <w:rsid w:val="00F44D16"/>
    <w:rsid w:val="00F54623"/>
    <w:rsid w:val="00F62112"/>
    <w:rsid w:val="00F64873"/>
    <w:rsid w:val="00F71EEE"/>
    <w:rsid w:val="00F855D3"/>
    <w:rsid w:val="00F915E0"/>
    <w:rsid w:val="00FA0449"/>
    <w:rsid w:val="00FA16F2"/>
    <w:rsid w:val="00FA71D0"/>
    <w:rsid w:val="00FA7D3B"/>
    <w:rsid w:val="00FC2618"/>
    <w:rsid w:val="00FC7750"/>
    <w:rsid w:val="01323CE1"/>
    <w:rsid w:val="0137077F"/>
    <w:rsid w:val="016641A9"/>
    <w:rsid w:val="04893C18"/>
    <w:rsid w:val="05314F48"/>
    <w:rsid w:val="05737D0A"/>
    <w:rsid w:val="06846E9F"/>
    <w:rsid w:val="07371E17"/>
    <w:rsid w:val="07463CD0"/>
    <w:rsid w:val="07B870BF"/>
    <w:rsid w:val="08354B48"/>
    <w:rsid w:val="0869623A"/>
    <w:rsid w:val="08AD6D99"/>
    <w:rsid w:val="08F32AF4"/>
    <w:rsid w:val="09A90D29"/>
    <w:rsid w:val="0A592DAE"/>
    <w:rsid w:val="0B48519C"/>
    <w:rsid w:val="0B796F29"/>
    <w:rsid w:val="0BDE65D6"/>
    <w:rsid w:val="0BEA0867"/>
    <w:rsid w:val="0C4E7F9F"/>
    <w:rsid w:val="0C5B3DCD"/>
    <w:rsid w:val="0D1B6466"/>
    <w:rsid w:val="0D9C2C0E"/>
    <w:rsid w:val="0E1A38FD"/>
    <w:rsid w:val="0E400CAB"/>
    <w:rsid w:val="0F2A3732"/>
    <w:rsid w:val="0F7038E6"/>
    <w:rsid w:val="0F9A1447"/>
    <w:rsid w:val="0FC519F2"/>
    <w:rsid w:val="10EE3C2D"/>
    <w:rsid w:val="11B12B97"/>
    <w:rsid w:val="13DB7675"/>
    <w:rsid w:val="1487670A"/>
    <w:rsid w:val="154020D1"/>
    <w:rsid w:val="16685D83"/>
    <w:rsid w:val="16C7711C"/>
    <w:rsid w:val="17097921"/>
    <w:rsid w:val="1742207E"/>
    <w:rsid w:val="19E50E7D"/>
    <w:rsid w:val="1AB7099C"/>
    <w:rsid w:val="1B100FDA"/>
    <w:rsid w:val="1B3B2D79"/>
    <w:rsid w:val="1B7D07E9"/>
    <w:rsid w:val="1B9113E5"/>
    <w:rsid w:val="1C0361B5"/>
    <w:rsid w:val="1C7B00DC"/>
    <w:rsid w:val="1D137004"/>
    <w:rsid w:val="1F0A5310"/>
    <w:rsid w:val="209249B2"/>
    <w:rsid w:val="21272522"/>
    <w:rsid w:val="216E6832"/>
    <w:rsid w:val="22182D0B"/>
    <w:rsid w:val="221A374B"/>
    <w:rsid w:val="225E23F5"/>
    <w:rsid w:val="2273088C"/>
    <w:rsid w:val="22AD3DD2"/>
    <w:rsid w:val="22B121F1"/>
    <w:rsid w:val="22F67EDD"/>
    <w:rsid w:val="23C10881"/>
    <w:rsid w:val="23CE2A1E"/>
    <w:rsid w:val="244E193E"/>
    <w:rsid w:val="266C7684"/>
    <w:rsid w:val="26F8029F"/>
    <w:rsid w:val="27240AA4"/>
    <w:rsid w:val="279B2256"/>
    <w:rsid w:val="28240B14"/>
    <w:rsid w:val="28D17EA7"/>
    <w:rsid w:val="294E1CA8"/>
    <w:rsid w:val="296A7356"/>
    <w:rsid w:val="29A20E13"/>
    <w:rsid w:val="2A952A67"/>
    <w:rsid w:val="2ACD3FAF"/>
    <w:rsid w:val="2ACD74DF"/>
    <w:rsid w:val="2ACF594A"/>
    <w:rsid w:val="2AFC45E1"/>
    <w:rsid w:val="2B5766D8"/>
    <w:rsid w:val="2C2072AD"/>
    <w:rsid w:val="2C21100C"/>
    <w:rsid w:val="2C7C0D24"/>
    <w:rsid w:val="2D341E07"/>
    <w:rsid w:val="2D72256E"/>
    <w:rsid w:val="2D9C3AA1"/>
    <w:rsid w:val="2DED0E76"/>
    <w:rsid w:val="2E7702DD"/>
    <w:rsid w:val="30293A89"/>
    <w:rsid w:val="308C757D"/>
    <w:rsid w:val="30EE43DE"/>
    <w:rsid w:val="326064D2"/>
    <w:rsid w:val="3294285E"/>
    <w:rsid w:val="33B650A5"/>
    <w:rsid w:val="3450663F"/>
    <w:rsid w:val="35A561EB"/>
    <w:rsid w:val="38765281"/>
    <w:rsid w:val="39522F81"/>
    <w:rsid w:val="3BA464D8"/>
    <w:rsid w:val="3D2F4D60"/>
    <w:rsid w:val="3D965E34"/>
    <w:rsid w:val="3DE23DBE"/>
    <w:rsid w:val="3E196FDB"/>
    <w:rsid w:val="3ED45FF4"/>
    <w:rsid w:val="40320BE0"/>
    <w:rsid w:val="4074447A"/>
    <w:rsid w:val="417032B2"/>
    <w:rsid w:val="41B678F8"/>
    <w:rsid w:val="41FC3379"/>
    <w:rsid w:val="426B6130"/>
    <w:rsid w:val="429C0DB8"/>
    <w:rsid w:val="429C278D"/>
    <w:rsid w:val="42D77C69"/>
    <w:rsid w:val="432E6D95"/>
    <w:rsid w:val="44ED7383"/>
    <w:rsid w:val="483D1D0A"/>
    <w:rsid w:val="489A4A09"/>
    <w:rsid w:val="48C21678"/>
    <w:rsid w:val="49235EEE"/>
    <w:rsid w:val="4A557A86"/>
    <w:rsid w:val="4A7D2D6D"/>
    <w:rsid w:val="4AD25D8C"/>
    <w:rsid w:val="4B13177B"/>
    <w:rsid w:val="4B930970"/>
    <w:rsid w:val="4BF662F0"/>
    <w:rsid w:val="4D8C487B"/>
    <w:rsid w:val="4E0D7E35"/>
    <w:rsid w:val="4F5D70F8"/>
    <w:rsid w:val="50CE316C"/>
    <w:rsid w:val="516B57EC"/>
    <w:rsid w:val="5236635A"/>
    <w:rsid w:val="52535A74"/>
    <w:rsid w:val="52B53F3F"/>
    <w:rsid w:val="54A454D1"/>
    <w:rsid w:val="54EF0465"/>
    <w:rsid w:val="553A17CA"/>
    <w:rsid w:val="55970B92"/>
    <w:rsid w:val="564B75F1"/>
    <w:rsid w:val="59627EE7"/>
    <w:rsid w:val="59814870"/>
    <w:rsid w:val="59EE1646"/>
    <w:rsid w:val="5A306D52"/>
    <w:rsid w:val="5A433EF2"/>
    <w:rsid w:val="5AA301B7"/>
    <w:rsid w:val="5C0052D1"/>
    <w:rsid w:val="5C3937EF"/>
    <w:rsid w:val="5CED3EB9"/>
    <w:rsid w:val="5D014763"/>
    <w:rsid w:val="5D810440"/>
    <w:rsid w:val="5E1753BD"/>
    <w:rsid w:val="5EC5739D"/>
    <w:rsid w:val="60365F24"/>
    <w:rsid w:val="60863D99"/>
    <w:rsid w:val="60FB2936"/>
    <w:rsid w:val="622971D3"/>
    <w:rsid w:val="63525EB8"/>
    <w:rsid w:val="637349EC"/>
    <w:rsid w:val="63832FE9"/>
    <w:rsid w:val="642C137A"/>
    <w:rsid w:val="64E837EA"/>
    <w:rsid w:val="65605444"/>
    <w:rsid w:val="65824DA8"/>
    <w:rsid w:val="660B1854"/>
    <w:rsid w:val="661701F9"/>
    <w:rsid w:val="67297F14"/>
    <w:rsid w:val="67AD6DE0"/>
    <w:rsid w:val="67B06612"/>
    <w:rsid w:val="68A103B1"/>
    <w:rsid w:val="68E23B86"/>
    <w:rsid w:val="6ACF7954"/>
    <w:rsid w:val="6C1A192A"/>
    <w:rsid w:val="6DC44285"/>
    <w:rsid w:val="6E086996"/>
    <w:rsid w:val="6E3E4E20"/>
    <w:rsid w:val="6F32398A"/>
    <w:rsid w:val="6FD257F7"/>
    <w:rsid w:val="6FDD50E2"/>
    <w:rsid w:val="701F58C3"/>
    <w:rsid w:val="70B65D93"/>
    <w:rsid w:val="718917EC"/>
    <w:rsid w:val="71AC7FE2"/>
    <w:rsid w:val="71BA0119"/>
    <w:rsid w:val="71E16C6D"/>
    <w:rsid w:val="729D75F0"/>
    <w:rsid w:val="747056C6"/>
    <w:rsid w:val="747131CA"/>
    <w:rsid w:val="747A39A6"/>
    <w:rsid w:val="74E514C2"/>
    <w:rsid w:val="7590447D"/>
    <w:rsid w:val="75A24C29"/>
    <w:rsid w:val="75A465B6"/>
    <w:rsid w:val="765E43B3"/>
    <w:rsid w:val="76F016A1"/>
    <w:rsid w:val="77043E82"/>
    <w:rsid w:val="775E5119"/>
    <w:rsid w:val="78E0091E"/>
    <w:rsid w:val="795C3CBE"/>
    <w:rsid w:val="7A4F53BF"/>
    <w:rsid w:val="7B095F0A"/>
    <w:rsid w:val="7B1E5743"/>
    <w:rsid w:val="7B9955D1"/>
    <w:rsid w:val="7C3F4A59"/>
    <w:rsid w:val="7D6C09D3"/>
    <w:rsid w:val="7DDD36A2"/>
    <w:rsid w:val="7E340E8C"/>
    <w:rsid w:val="7F3C12E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rPr>
      <w:rFonts w:ascii="Times New Roman" w:hAnsi="Times New Roman" w:eastAsia="仿宋_GB2312" w:cs="Times New Roman"/>
      <w:spacing w:val="-2"/>
      <w:kern w:val="2"/>
      <w:sz w:val="32"/>
      <w:lang w:val="en-US" w:eastAsia="zh-CN"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next w:val="1"/>
    <w:link w:val="17"/>
    <w:autoRedefine/>
    <w:qFormat/>
    <w:uiPriority w:val="99"/>
    <w:pPr>
      <w:tabs>
        <w:tab w:val="center" w:pos="4153"/>
        <w:tab w:val="right" w:pos="8306"/>
      </w:tabs>
      <w:snapToGrid w:val="0"/>
    </w:pPr>
    <w:rPr>
      <w:sz w:val="18"/>
      <w:szCs w:val="18"/>
    </w:rPr>
  </w:style>
  <w:style w:type="paragraph" w:styleId="3">
    <w:name w:val="Body Text Indent"/>
    <w:basedOn w:val="1"/>
    <w:link w:val="11"/>
    <w:autoRedefine/>
    <w:qFormat/>
    <w:uiPriority w:val="0"/>
    <w:pPr>
      <w:ind w:firstLine="359" w:firstLineChars="171"/>
    </w:pPr>
    <w:rPr>
      <w:rFonts w:eastAsia="宋体"/>
      <w:spacing w:val="0"/>
      <w:sz w:val="21"/>
      <w:szCs w:val="24"/>
    </w:rPr>
  </w:style>
  <w:style w:type="paragraph" w:styleId="4">
    <w:name w:val="Balloon Text"/>
    <w:basedOn w:val="1"/>
    <w:autoRedefine/>
    <w:semiHidden/>
    <w:qFormat/>
    <w:uiPriority w:val="0"/>
    <w:rPr>
      <w:sz w:val="18"/>
      <w:szCs w:val="18"/>
    </w:rPr>
  </w:style>
  <w:style w:type="paragraph" w:styleId="5">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autoRedefine/>
    <w:qFormat/>
    <w:uiPriority w:val="0"/>
  </w:style>
  <w:style w:type="paragraph" w:customStyle="1" w:styleId="9">
    <w:name w:val="Char"/>
    <w:basedOn w:val="1"/>
    <w:autoRedefine/>
    <w:qFormat/>
    <w:uiPriority w:val="0"/>
    <w:rPr>
      <w:rFonts w:eastAsia="宋体"/>
      <w:spacing w:val="0"/>
      <w:sz w:val="21"/>
    </w:rPr>
  </w:style>
  <w:style w:type="character" w:customStyle="1" w:styleId="10">
    <w:name w:val="页眉 Char"/>
    <w:link w:val="5"/>
    <w:autoRedefine/>
    <w:qFormat/>
    <w:uiPriority w:val="0"/>
    <w:rPr>
      <w:rFonts w:eastAsia="仿宋_GB2312"/>
      <w:spacing w:val="-2"/>
      <w:kern w:val="2"/>
      <w:sz w:val="18"/>
      <w:szCs w:val="18"/>
    </w:rPr>
  </w:style>
  <w:style w:type="character" w:customStyle="1" w:styleId="11">
    <w:name w:val="正文文本缩进 Char"/>
    <w:link w:val="3"/>
    <w:autoRedefine/>
    <w:qFormat/>
    <w:uiPriority w:val="0"/>
    <w:rPr>
      <w:kern w:val="2"/>
      <w:sz w:val="21"/>
      <w:szCs w:val="24"/>
    </w:rPr>
  </w:style>
  <w:style w:type="character" w:styleId="12">
    <w:name w:val="Placeholder Text"/>
    <w:basedOn w:val="7"/>
    <w:autoRedefine/>
    <w:semiHidden/>
    <w:qFormat/>
    <w:uiPriority w:val="99"/>
    <w:rPr>
      <w:color w:val="808080"/>
    </w:rPr>
  </w:style>
  <w:style w:type="paragraph" w:customStyle="1" w:styleId="13">
    <w:name w:val="样式1"/>
    <w:basedOn w:val="1"/>
    <w:autoRedefine/>
    <w:qFormat/>
    <w:uiPriority w:val="0"/>
    <w:pPr>
      <w:kinsoku w:val="0"/>
      <w:overflowPunct w:val="0"/>
      <w:autoSpaceDE w:val="0"/>
      <w:autoSpaceDN w:val="0"/>
      <w:adjustRightInd w:val="0"/>
      <w:snapToGrid w:val="0"/>
      <w:spacing w:beforeLines="50" w:line="520" w:lineRule="exact"/>
      <w:ind w:firstLine="640" w:firstLineChars="200"/>
      <w:outlineLvl w:val="0"/>
    </w:pPr>
    <w:rPr>
      <w:rFonts w:ascii="Cambria Math" w:hAnsi="Cambria Math" w:eastAsia="Arial Unicode MS"/>
      <w:szCs w:val="32"/>
    </w:rPr>
  </w:style>
  <w:style w:type="paragraph" w:customStyle="1" w:styleId="14">
    <w:name w:val="样式2"/>
    <w:basedOn w:val="1"/>
    <w:autoRedefine/>
    <w:qFormat/>
    <w:uiPriority w:val="0"/>
    <w:pPr>
      <w:kinsoku w:val="0"/>
      <w:overflowPunct w:val="0"/>
      <w:autoSpaceDE w:val="0"/>
      <w:autoSpaceDN w:val="0"/>
      <w:adjustRightInd w:val="0"/>
      <w:snapToGrid w:val="0"/>
      <w:spacing w:beforeLines="50" w:line="520" w:lineRule="exact"/>
      <w:ind w:firstLine="640" w:firstLineChars="200"/>
      <w:outlineLvl w:val="0"/>
    </w:pPr>
    <w:rPr>
      <w:rFonts w:ascii="Cambria Math" w:hAnsi="Cambria Math" w:eastAsia="Arial Unicode MS"/>
      <w:szCs w:val="32"/>
    </w:rPr>
  </w:style>
  <w:style w:type="paragraph" w:customStyle="1" w:styleId="15">
    <w:name w:val="样式3"/>
    <w:basedOn w:val="1"/>
    <w:autoRedefine/>
    <w:qFormat/>
    <w:uiPriority w:val="0"/>
    <w:pPr>
      <w:spacing w:before="120" w:afterLines="50" w:line="520" w:lineRule="exact"/>
      <w:ind w:firstLine="632" w:firstLineChars="200"/>
    </w:pPr>
    <w:rPr>
      <w:rFonts w:ascii="仿宋_GB2312" w:eastAsia="Meiryo"/>
      <w:szCs w:val="32"/>
    </w:rPr>
  </w:style>
  <w:style w:type="paragraph" w:styleId="16">
    <w:name w:val="List Paragraph"/>
    <w:basedOn w:val="1"/>
    <w:autoRedefine/>
    <w:qFormat/>
    <w:uiPriority w:val="34"/>
    <w:pPr>
      <w:ind w:firstLine="420" w:firstLineChars="200"/>
    </w:pPr>
  </w:style>
  <w:style w:type="character" w:customStyle="1" w:styleId="17">
    <w:name w:val="页脚 Char"/>
    <w:basedOn w:val="7"/>
    <w:link w:val="2"/>
    <w:autoRedefine/>
    <w:qFormat/>
    <w:uiPriority w:val="99"/>
    <w:rPr>
      <w:rFonts w:eastAsia="仿宋_GB2312"/>
      <w:spacing w:val="-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打字室</Company>
  <Pages>9</Pages>
  <Words>4714</Words>
  <Characters>4738</Characters>
  <Lines>44</Lines>
  <Paragraphs>12</Paragraphs>
  <TotalTime>3</TotalTime>
  <ScaleCrop>false</ScaleCrop>
  <LinksUpToDate>false</LinksUpToDate>
  <CharactersWithSpaces>4786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2018-05-19T03:18:00Z</dcterms:created>
  <dc:creator>刘利平</dc:creator>
  <cp:lastModifiedBy>· 多得他</cp:lastModifiedBy>
  <cp:lastPrinted>2023-08-21T07:48:00Z</cp:lastPrinted>
  <dcterms:modified xsi:type="dcterms:W3CDTF">2024-03-18T02:53:43Z</dcterms:modified>
  <dc:title>适用文种：请示  报告  意见</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FA23E223874B47C39442F119EFA0EDFE_13</vt:lpwstr>
  </property>
</Properties>
</file>