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2" w:firstLineChars="80"/>
        <w:jc w:val="center"/>
        <w:rPr>
          <w:rFonts w:eastAsia="方正小标宋简体"/>
          <w:spacing w:val="4"/>
          <w:w w:val="70"/>
          <w:sz w:val="10"/>
          <w:szCs w:val="10"/>
        </w:rPr>
      </w:pPr>
    </w:p>
    <w:p>
      <w:pPr>
        <w:wordWrap w:val="0"/>
        <w:spacing w:beforeLines="100" w:line="600" w:lineRule="exact"/>
        <w:jc w:val="right"/>
        <w:rPr>
          <w:rFonts w:eastAsia="仿宋_GB2312"/>
          <w:b/>
          <w:sz w:val="32"/>
          <w:szCs w:val="32"/>
        </w:rPr>
      </w:pPr>
    </w:p>
    <w:p>
      <w:pPr>
        <w:pStyle w:val="2"/>
        <w:rPr>
          <w:rFonts w:eastAsia="仿宋_GB2312"/>
        </w:rPr>
      </w:pPr>
      <w:r>
        <w:rPr>
          <w:rFonts w:hint="eastAsia" w:eastAsia="仿宋_GB2312"/>
        </w:rPr>
        <w:t xml:space="preserve">                            </w:t>
      </w:r>
    </w:p>
    <w:p>
      <w:pPr>
        <w:snapToGrid w:val="0"/>
        <w:spacing w:line="240" w:lineRule="exact"/>
        <w:jc w:val="right"/>
        <w:rPr>
          <w:rFonts w:eastAsia="方正公文小标宋"/>
          <w:bCs/>
          <w:sz w:val="44"/>
          <w:szCs w:val="44"/>
        </w:rPr>
      </w:pPr>
    </w:p>
    <w:p>
      <w:pPr>
        <w:spacing w:line="600" w:lineRule="exact"/>
        <w:jc w:val="center"/>
        <w:rPr>
          <w:rFonts w:eastAsia="方正小标宋_GBK"/>
          <w:b/>
          <w:bCs/>
          <w:sz w:val="36"/>
          <w:szCs w:val="36"/>
        </w:rPr>
      </w:pPr>
      <w:r>
        <w:rPr>
          <w:rFonts w:eastAsia="方正小标宋_GBK"/>
          <w:b/>
          <w:bCs/>
          <w:sz w:val="36"/>
          <w:szCs w:val="36"/>
        </w:rPr>
        <w:t>关于开展202</w:t>
      </w:r>
      <w:r>
        <w:rPr>
          <w:rFonts w:hint="eastAsia" w:eastAsia="方正小标宋_GBK"/>
          <w:b/>
          <w:bCs/>
          <w:sz w:val="36"/>
          <w:szCs w:val="36"/>
        </w:rPr>
        <w:t>3</w:t>
      </w:r>
      <w:r>
        <w:rPr>
          <w:rFonts w:eastAsia="方正小标宋_GBK"/>
          <w:b/>
          <w:bCs/>
          <w:sz w:val="36"/>
          <w:szCs w:val="36"/>
        </w:rPr>
        <w:t>年</w:t>
      </w:r>
      <w:r>
        <w:rPr>
          <w:rFonts w:hint="eastAsia" w:eastAsia="方正小标宋_GBK"/>
          <w:b/>
          <w:bCs/>
          <w:sz w:val="36"/>
          <w:szCs w:val="36"/>
        </w:rPr>
        <w:t>衡阳市中等</w:t>
      </w:r>
      <w:r>
        <w:rPr>
          <w:rFonts w:eastAsia="方正小标宋_GBK"/>
          <w:b/>
          <w:bCs/>
          <w:sz w:val="36"/>
          <w:szCs w:val="36"/>
        </w:rPr>
        <w:t>职业教育</w:t>
      </w:r>
    </w:p>
    <w:p>
      <w:pPr>
        <w:spacing w:line="600" w:lineRule="exact"/>
        <w:jc w:val="center"/>
        <w:rPr>
          <w:rFonts w:eastAsia="方正小标宋_GBK"/>
          <w:b/>
          <w:bCs/>
          <w:kern w:val="0"/>
          <w:sz w:val="36"/>
          <w:szCs w:val="36"/>
        </w:rPr>
      </w:pPr>
      <w:r>
        <w:rPr>
          <w:rFonts w:eastAsia="方正小标宋_GBK"/>
          <w:b/>
          <w:bCs/>
          <w:sz w:val="36"/>
          <w:szCs w:val="36"/>
        </w:rPr>
        <w:t>优秀论文评选活动的通知</w:t>
      </w:r>
    </w:p>
    <w:p>
      <w:pPr>
        <w:spacing w:line="600" w:lineRule="exact"/>
        <w:jc w:val="right"/>
        <w:rPr>
          <w:kern w:val="0"/>
          <w:sz w:val="24"/>
        </w:rPr>
      </w:pPr>
      <w:r>
        <w:rPr>
          <w:rFonts w:eastAsia="仿宋_GB2312"/>
          <w:kern w:val="0"/>
          <w:sz w:val="36"/>
          <w:szCs w:val="36"/>
        </w:rPr>
        <w:t xml:space="preserve"> </w:t>
      </w:r>
    </w:p>
    <w:p>
      <w:pPr>
        <w:pStyle w:val="5"/>
        <w:shd w:val="clear" w:color="auto" w:fill="FFFFFF"/>
        <w:spacing w:before="0" w:beforeAutospacing="0" w:after="0" w:afterAutospacing="0" w:line="540" w:lineRule="exact"/>
        <w:rPr>
          <w:rFonts w:ascii="仿宋_GB2312" w:hAnsi="微软雅黑" w:eastAsia="仿宋_GB2312"/>
          <w:sz w:val="30"/>
          <w:szCs w:val="30"/>
        </w:rPr>
      </w:pPr>
      <w:r>
        <w:rPr>
          <w:rFonts w:hint="eastAsia" w:ascii="仿宋_GB2312" w:hAnsi="微软雅黑" w:eastAsia="仿宋_GB2312"/>
          <w:sz w:val="30"/>
          <w:szCs w:val="30"/>
        </w:rPr>
        <w:t>各县(市、区)教育局、中等职业学校：</w:t>
      </w:r>
    </w:p>
    <w:p>
      <w:pPr>
        <w:snapToGrid w:val="0"/>
        <w:spacing w:line="540" w:lineRule="exact"/>
        <w:ind w:firstLine="600" w:firstLineChars="200"/>
        <w:rPr>
          <w:rFonts w:eastAsia="仿宋_GB2312"/>
          <w:kern w:val="32"/>
          <w:sz w:val="30"/>
          <w:szCs w:val="30"/>
        </w:rPr>
      </w:pPr>
      <w:r>
        <w:rPr>
          <w:rFonts w:hint="eastAsia" w:eastAsia="仿宋_GB2312"/>
          <w:color w:val="000000"/>
          <w:kern w:val="0"/>
          <w:sz w:val="30"/>
          <w:szCs w:val="30"/>
        </w:rPr>
        <w:t>为提升我市中等职业学校综合育人水平，培养教师创新精神，提升职业学校教师“双师”素质，展示广大教师教科研成果，经研究，</w:t>
      </w:r>
      <w:r>
        <w:rPr>
          <w:rFonts w:eastAsia="仿宋_GB2312"/>
          <w:color w:val="000000"/>
          <w:kern w:val="0"/>
          <w:sz w:val="30"/>
          <w:szCs w:val="30"/>
        </w:rPr>
        <w:t>决定开展202</w:t>
      </w:r>
      <w:r>
        <w:rPr>
          <w:rFonts w:hint="eastAsia" w:eastAsia="仿宋_GB2312"/>
          <w:color w:val="000000"/>
          <w:kern w:val="0"/>
          <w:sz w:val="30"/>
          <w:szCs w:val="30"/>
        </w:rPr>
        <w:t>3</w:t>
      </w:r>
      <w:r>
        <w:rPr>
          <w:rFonts w:eastAsia="仿宋_GB2312"/>
          <w:color w:val="000000"/>
          <w:kern w:val="0"/>
          <w:sz w:val="30"/>
          <w:szCs w:val="30"/>
        </w:rPr>
        <w:t>年衡阳市</w:t>
      </w:r>
      <w:r>
        <w:rPr>
          <w:rFonts w:hint="eastAsia" w:eastAsia="仿宋_GB2312"/>
          <w:color w:val="000000"/>
          <w:kern w:val="0"/>
          <w:sz w:val="30"/>
          <w:szCs w:val="30"/>
        </w:rPr>
        <w:t>中等</w:t>
      </w:r>
      <w:r>
        <w:rPr>
          <w:rFonts w:eastAsia="仿宋_GB2312"/>
          <w:color w:val="000000"/>
          <w:kern w:val="0"/>
          <w:sz w:val="30"/>
          <w:szCs w:val="30"/>
        </w:rPr>
        <w:t>职业教育优秀论文评选活动。现</w:t>
      </w:r>
      <w:r>
        <w:rPr>
          <w:rFonts w:eastAsia="仿宋_GB2312"/>
          <w:kern w:val="32"/>
          <w:sz w:val="30"/>
          <w:szCs w:val="30"/>
        </w:rPr>
        <w:t>通知如下</w:t>
      </w:r>
      <w:r>
        <w:rPr>
          <w:rFonts w:hint="eastAsia" w:eastAsia="仿宋_GB2312"/>
          <w:kern w:val="32"/>
          <w:sz w:val="30"/>
          <w:szCs w:val="30"/>
        </w:rPr>
        <w:t>。</w:t>
      </w:r>
    </w:p>
    <w:p>
      <w:pPr>
        <w:snapToGrid w:val="0"/>
        <w:spacing w:line="540" w:lineRule="exact"/>
        <w:ind w:firstLine="600" w:firstLineChars="200"/>
        <w:rPr>
          <w:rFonts w:eastAsia="黑体"/>
          <w:kern w:val="32"/>
          <w:sz w:val="30"/>
          <w:szCs w:val="30"/>
        </w:rPr>
      </w:pPr>
      <w:r>
        <w:rPr>
          <w:rFonts w:hint="eastAsia" w:eastAsia="黑体"/>
          <w:kern w:val="32"/>
          <w:sz w:val="30"/>
          <w:szCs w:val="30"/>
        </w:rPr>
        <w:t>一</w:t>
      </w:r>
      <w:r>
        <w:rPr>
          <w:rFonts w:eastAsia="黑体"/>
          <w:kern w:val="32"/>
          <w:sz w:val="30"/>
          <w:szCs w:val="30"/>
        </w:rPr>
        <w:t>、参考选题及有关要求</w:t>
      </w:r>
    </w:p>
    <w:p>
      <w:pPr>
        <w:spacing w:line="520" w:lineRule="exact"/>
        <w:ind w:firstLine="600" w:firstLineChars="200"/>
        <w:rPr>
          <w:rFonts w:ascii="仿宋_GB2312" w:hAnsi="仿宋_GB2312" w:eastAsia="仿宋_GB2312" w:cs="仿宋_GB2312"/>
          <w:kern w:val="32"/>
          <w:sz w:val="30"/>
          <w:szCs w:val="30"/>
        </w:rPr>
      </w:pPr>
      <w:r>
        <w:rPr>
          <w:rFonts w:hint="eastAsia" w:ascii="仿宋_GB2312" w:hAnsi="仿宋_GB2312" w:eastAsia="仿宋_GB2312" w:cs="仿宋_GB2312"/>
          <w:kern w:val="32"/>
          <w:sz w:val="30"/>
          <w:szCs w:val="30"/>
        </w:rPr>
        <w:t>论文选题应</w:t>
      </w:r>
      <w:r>
        <w:rPr>
          <w:rFonts w:hint="eastAsia" w:ascii="仿宋_GB2312" w:hAnsi="仿宋_GB2312" w:eastAsia="仿宋_GB2312" w:cs="仿宋_GB2312"/>
          <w:sz w:val="30"/>
          <w:szCs w:val="30"/>
        </w:rPr>
        <w:t>落实立德树人根本任务，推进新时代中国特色社会主义思想进教材进课堂进头脑、构建职业教育“三全育人”新格局、创新职业学校思想政治教育模式的实践探索；贯彻落实中共中央办公厅,国务院办公厅《关于深化现代职业教育体系建设改革的意见》《关于整省推进职业教育一体化高质量发展加快技能安徽建设的意见》的探索与实践；</w:t>
      </w:r>
      <w:r>
        <w:rPr>
          <w:rFonts w:hint="eastAsia" w:ascii="仿宋_GB2312" w:hAnsi="仿宋_GB2312" w:eastAsia="仿宋_GB2312" w:cs="仿宋_GB2312"/>
          <w:kern w:val="32"/>
          <w:sz w:val="30"/>
          <w:szCs w:val="30"/>
        </w:rPr>
        <w:t>湖南“楚怡”优质中职学校和优质专业群建设绩效评估与发展案例研究；</w:t>
      </w:r>
      <w:r>
        <w:rPr>
          <w:rFonts w:hint="eastAsia" w:ascii="仿宋_GB2312" w:hAnsi="仿宋_GB2312" w:eastAsia="仿宋_GB2312" w:cs="仿宋_GB2312"/>
          <w:sz w:val="30"/>
          <w:szCs w:val="30"/>
        </w:rPr>
        <w:t>职业教育职普融通、产教融合、科教融汇的实践研究；贯彻实施职业教育国家教学标准的实践；坚持产教融合、工学结合、知行合一、校企“双元”育人机制的实践探索;校本教学（课题）研究的探索与实践；数字化时代，探索线上线下互动教学模式，推动信息技术与教育教学深度融合、提升教师教学能力的实践；探索完善以学习者为中心的专业和课程教学评价体系，推动职业学校“课堂革命”纵深发展的实践；培养“双师型”教师队伍，促进教师专业化成长的实践探索</w:t>
      </w:r>
      <w:r>
        <w:rPr>
          <w:rFonts w:hint="eastAsia" w:ascii="仿宋_GB2312" w:hAnsi="仿宋_GB2312" w:eastAsia="仿宋_GB2312" w:cs="仿宋_GB2312"/>
          <w:kern w:val="32"/>
          <w:sz w:val="30"/>
          <w:szCs w:val="30"/>
        </w:rPr>
        <w:t>等重点热点问题，</w:t>
      </w:r>
      <w:r>
        <w:rPr>
          <w:rFonts w:hint="eastAsia" w:ascii="仿宋_GB2312" w:hAnsi="仿宋_GB2312" w:eastAsia="仿宋_GB2312" w:cs="仿宋_GB2312"/>
          <w:color w:val="000000"/>
          <w:kern w:val="32"/>
          <w:sz w:val="30"/>
          <w:szCs w:val="30"/>
        </w:rPr>
        <w:t>进行深入研究，</w:t>
      </w:r>
      <w:r>
        <w:rPr>
          <w:rFonts w:hint="eastAsia" w:ascii="仿宋_GB2312" w:hAnsi="仿宋_GB2312" w:eastAsia="仿宋_GB2312" w:cs="仿宋_GB2312"/>
          <w:kern w:val="32"/>
          <w:sz w:val="30"/>
          <w:szCs w:val="30"/>
        </w:rPr>
        <w:t>提出新见解、新思路和新举措。论文力求主题明确、重点突出、论点清晰、论据充分，有较强的说服力，有一定的借鉴或推广价值。</w:t>
      </w:r>
    </w:p>
    <w:p>
      <w:pPr>
        <w:snapToGrid w:val="0"/>
        <w:spacing w:line="540" w:lineRule="exact"/>
        <w:ind w:firstLine="600" w:firstLineChars="200"/>
        <w:rPr>
          <w:rFonts w:eastAsia="仿宋_GB2312"/>
          <w:spacing w:val="-6"/>
          <w:kern w:val="32"/>
          <w:sz w:val="30"/>
          <w:szCs w:val="30"/>
        </w:rPr>
      </w:pPr>
      <w:r>
        <w:rPr>
          <w:rFonts w:eastAsia="仿宋_GB2312"/>
          <w:kern w:val="32"/>
          <w:sz w:val="30"/>
          <w:szCs w:val="30"/>
        </w:rPr>
        <w:t>2.</w:t>
      </w:r>
      <w:r>
        <w:rPr>
          <w:rFonts w:eastAsia="仿宋_GB2312"/>
          <w:spacing w:val="-6"/>
          <w:sz w:val="30"/>
          <w:szCs w:val="30"/>
        </w:rPr>
        <w:t>参评论文必须是作者独立完成的、</w:t>
      </w:r>
      <w:r>
        <w:rPr>
          <w:rFonts w:eastAsia="仿宋_GB2312"/>
          <w:spacing w:val="-6"/>
          <w:kern w:val="32"/>
          <w:sz w:val="30"/>
          <w:szCs w:val="30"/>
        </w:rPr>
        <w:t>有自主知识产权的</w:t>
      </w:r>
      <w:r>
        <w:rPr>
          <w:rFonts w:hint="eastAsia" w:eastAsia="仿宋_GB2312"/>
          <w:spacing w:val="-6"/>
          <w:kern w:val="32"/>
          <w:sz w:val="30"/>
          <w:szCs w:val="30"/>
        </w:rPr>
        <w:t>中等职业</w:t>
      </w:r>
      <w:r>
        <w:rPr>
          <w:rFonts w:eastAsia="仿宋_GB2312"/>
          <w:spacing w:val="-6"/>
          <w:kern w:val="32"/>
          <w:sz w:val="30"/>
          <w:szCs w:val="30"/>
        </w:rPr>
        <w:t>教育研究论文。研究专业技术的科技论文不参加本次评选，</w:t>
      </w:r>
      <w:r>
        <w:rPr>
          <w:rFonts w:eastAsia="仿宋_GB2312"/>
          <w:spacing w:val="-6"/>
          <w:sz w:val="30"/>
          <w:szCs w:val="30"/>
        </w:rPr>
        <w:t>工作总结或解题指导等文章不能参评，</w:t>
      </w:r>
      <w:r>
        <w:rPr>
          <w:rFonts w:eastAsia="仿宋_GB2312"/>
          <w:spacing w:val="-6"/>
          <w:kern w:val="32"/>
          <w:sz w:val="30"/>
          <w:szCs w:val="30"/>
        </w:rPr>
        <w:t>已经获得省级其他奖励的论文不再参评。</w:t>
      </w:r>
    </w:p>
    <w:p>
      <w:pPr>
        <w:snapToGrid w:val="0"/>
        <w:spacing w:line="540" w:lineRule="exact"/>
        <w:ind w:firstLine="600" w:firstLineChars="200"/>
        <w:rPr>
          <w:rFonts w:eastAsia="仿宋_GB2312"/>
          <w:spacing w:val="-6"/>
          <w:kern w:val="32"/>
          <w:sz w:val="30"/>
          <w:szCs w:val="30"/>
        </w:rPr>
      </w:pPr>
      <w:r>
        <w:rPr>
          <w:rFonts w:eastAsia="仿宋_GB2312"/>
          <w:kern w:val="0"/>
          <w:sz w:val="30"/>
          <w:szCs w:val="30"/>
        </w:rPr>
        <w:t>3.</w:t>
      </w:r>
      <w:r>
        <w:rPr>
          <w:rFonts w:eastAsia="仿宋_GB2312"/>
          <w:sz w:val="30"/>
          <w:szCs w:val="30"/>
        </w:rPr>
        <w:t>论</w:t>
      </w:r>
      <w:r>
        <w:rPr>
          <w:rFonts w:eastAsia="仿宋_GB2312"/>
          <w:spacing w:val="-6"/>
          <w:sz w:val="30"/>
          <w:szCs w:val="30"/>
        </w:rPr>
        <w:t>文结构完整，格式符合规范。论文</w:t>
      </w:r>
      <w:r>
        <w:rPr>
          <w:rFonts w:eastAsia="仿宋_GB2312"/>
          <w:spacing w:val="-6"/>
          <w:kern w:val="32"/>
          <w:sz w:val="30"/>
          <w:szCs w:val="30"/>
        </w:rPr>
        <w:t>除正文外，要有内容摘要、关键词和参考文献。全文字数3000～5000字，最多不超过6000字。</w:t>
      </w:r>
    </w:p>
    <w:p>
      <w:pPr>
        <w:snapToGrid w:val="0"/>
        <w:spacing w:line="540" w:lineRule="exact"/>
        <w:ind w:firstLine="600" w:firstLineChars="200"/>
        <w:rPr>
          <w:rFonts w:eastAsia="仿宋_GB2312"/>
          <w:kern w:val="32"/>
          <w:sz w:val="30"/>
          <w:szCs w:val="30"/>
        </w:rPr>
      </w:pPr>
      <w:r>
        <w:rPr>
          <w:rFonts w:hint="eastAsia" w:eastAsia="仿宋_GB2312"/>
          <w:kern w:val="32"/>
          <w:sz w:val="30"/>
          <w:szCs w:val="30"/>
        </w:rPr>
        <w:t>4.所有参评论文（已发表的除外）须提供正规网站论文检测系统的标准查重数据，未提交的不予评审，查重率不得高于20%。</w:t>
      </w:r>
    </w:p>
    <w:p>
      <w:pPr>
        <w:snapToGrid w:val="0"/>
        <w:spacing w:line="540" w:lineRule="exact"/>
        <w:ind w:firstLine="600" w:firstLineChars="200"/>
        <w:rPr>
          <w:rFonts w:eastAsia="黑体"/>
          <w:kern w:val="32"/>
          <w:sz w:val="30"/>
          <w:szCs w:val="30"/>
        </w:rPr>
      </w:pPr>
      <w:r>
        <w:rPr>
          <w:rFonts w:hint="eastAsia" w:eastAsia="黑体"/>
          <w:kern w:val="32"/>
          <w:sz w:val="30"/>
          <w:szCs w:val="30"/>
        </w:rPr>
        <w:t>二</w:t>
      </w:r>
      <w:r>
        <w:rPr>
          <w:rFonts w:eastAsia="黑体"/>
          <w:kern w:val="32"/>
          <w:sz w:val="30"/>
          <w:szCs w:val="30"/>
        </w:rPr>
        <w:t>、申报</w:t>
      </w:r>
    </w:p>
    <w:p>
      <w:pPr>
        <w:snapToGrid w:val="0"/>
        <w:spacing w:line="540" w:lineRule="exact"/>
        <w:ind w:firstLine="600" w:firstLineChars="200"/>
        <w:rPr>
          <w:rFonts w:eastAsia="仿宋_GB2312"/>
          <w:kern w:val="32"/>
          <w:sz w:val="30"/>
          <w:szCs w:val="30"/>
        </w:rPr>
      </w:pPr>
      <w:r>
        <w:rPr>
          <w:rFonts w:hint="eastAsia" w:eastAsia="仿宋_GB2312"/>
          <w:kern w:val="32"/>
          <w:sz w:val="30"/>
          <w:szCs w:val="30"/>
        </w:rPr>
        <w:t>1</w:t>
      </w:r>
      <w:r>
        <w:rPr>
          <w:rFonts w:eastAsia="仿宋_GB2312"/>
          <w:kern w:val="32"/>
          <w:sz w:val="30"/>
          <w:szCs w:val="30"/>
        </w:rPr>
        <w:t>.每人限报1篇第一作者（或独著）论文。合著论文的作者限在3名以内。所有参评论文材料一律不退，请申报者自留底稿。</w:t>
      </w:r>
    </w:p>
    <w:p>
      <w:pPr>
        <w:snapToGrid w:val="0"/>
        <w:spacing w:line="540" w:lineRule="exact"/>
        <w:ind w:firstLine="600" w:firstLineChars="200"/>
        <w:rPr>
          <w:rFonts w:eastAsia="仿宋_GB2312"/>
          <w:kern w:val="32"/>
          <w:sz w:val="30"/>
          <w:szCs w:val="30"/>
        </w:rPr>
      </w:pPr>
      <w:r>
        <w:rPr>
          <w:rFonts w:hint="eastAsia" w:eastAsia="仿宋_GB2312"/>
          <w:kern w:val="32"/>
          <w:sz w:val="30"/>
          <w:szCs w:val="30"/>
        </w:rPr>
        <w:t>2</w:t>
      </w:r>
      <w:r>
        <w:rPr>
          <w:rFonts w:eastAsia="仿宋_GB2312"/>
          <w:kern w:val="32"/>
          <w:sz w:val="30"/>
          <w:szCs w:val="30"/>
        </w:rPr>
        <w:t>.在公开发行的报刊上发表的论文只需提交期刊封面、目录及论文正文复印件，本年度参评论文须是20</w:t>
      </w:r>
      <w:r>
        <w:rPr>
          <w:rFonts w:hint="eastAsia" w:eastAsia="仿宋_GB2312"/>
          <w:kern w:val="32"/>
          <w:sz w:val="30"/>
          <w:szCs w:val="30"/>
        </w:rPr>
        <w:t>22</w:t>
      </w:r>
      <w:r>
        <w:rPr>
          <w:rFonts w:eastAsia="仿宋_GB2312"/>
          <w:kern w:val="32"/>
          <w:sz w:val="30"/>
          <w:szCs w:val="30"/>
        </w:rPr>
        <w:t>年1月以后发表的。</w:t>
      </w:r>
    </w:p>
    <w:p>
      <w:pPr>
        <w:pStyle w:val="5"/>
        <w:shd w:val="clear" w:color="auto" w:fill="FFFFFF"/>
        <w:spacing w:before="0" w:beforeAutospacing="0" w:after="0" w:afterAutospacing="0" w:line="540" w:lineRule="exact"/>
        <w:ind w:firstLine="513"/>
        <w:rPr>
          <w:rFonts w:ascii="仿宋_GB2312" w:hAnsi="微软雅黑" w:eastAsia="仿宋_GB2312"/>
          <w:sz w:val="30"/>
          <w:szCs w:val="30"/>
        </w:rPr>
      </w:pPr>
      <w:r>
        <w:rPr>
          <w:rFonts w:hint="eastAsia" w:ascii="Times New Roman" w:hAnsi="Times New Roman" w:eastAsia="仿宋_GB2312" w:cs="Times New Roman"/>
          <w:kern w:val="32"/>
          <w:sz w:val="30"/>
          <w:szCs w:val="30"/>
        </w:rPr>
        <w:t>3</w:t>
      </w:r>
      <w:r>
        <w:rPr>
          <w:rFonts w:ascii="Times New Roman" w:hAnsi="Times New Roman" w:eastAsia="仿宋_GB2312" w:cs="Times New Roman"/>
          <w:kern w:val="32"/>
          <w:sz w:val="30"/>
          <w:szCs w:val="30"/>
        </w:rPr>
        <w:t>.</w:t>
      </w:r>
      <w:r>
        <w:rPr>
          <w:rFonts w:hint="eastAsia" w:ascii="仿宋_GB2312" w:hAnsi="微软雅黑" w:eastAsia="仿宋_GB2312"/>
          <w:sz w:val="30"/>
          <w:szCs w:val="30"/>
        </w:rPr>
        <w:t xml:space="preserve"> 论文上报统一于9月5日之前中午十二点以前提交纸质稿及相应的电子文档，申报表应注明序号、论文标题、作者姓名、工作单位。论文</w:t>
      </w:r>
      <w:r>
        <w:rPr>
          <w:rFonts w:ascii="Times New Roman" w:hAnsi="Times New Roman" w:eastAsia="仿宋_GB2312" w:cs="Times New Roman"/>
          <w:sz w:val="30"/>
          <w:szCs w:val="30"/>
        </w:rPr>
        <w:t>纸质稿和电子稿均</w:t>
      </w:r>
      <w:r>
        <w:rPr>
          <w:rFonts w:ascii="Times New Roman" w:hAnsi="Times New Roman" w:eastAsia="仿宋_GB2312" w:cs="Times New Roman"/>
          <w:kern w:val="32"/>
          <w:sz w:val="30"/>
          <w:szCs w:val="30"/>
        </w:rPr>
        <w:t>不得出现作者姓名及单位名称，</w:t>
      </w:r>
      <w:r>
        <w:rPr>
          <w:rFonts w:ascii="Times New Roman" w:hAnsi="Times New Roman" w:eastAsia="仿宋_GB2312" w:cs="Times New Roman"/>
          <w:sz w:val="30"/>
          <w:szCs w:val="30"/>
        </w:rPr>
        <w:t>纸质稿</w:t>
      </w:r>
      <w:r>
        <w:rPr>
          <w:rFonts w:ascii="Times New Roman" w:hAnsi="Times New Roman" w:eastAsia="仿宋_GB2312" w:cs="Times New Roman"/>
          <w:kern w:val="32"/>
          <w:sz w:val="30"/>
          <w:szCs w:val="30"/>
        </w:rPr>
        <w:t>用A4纸双面打印，左侧装订。</w:t>
      </w:r>
    </w:p>
    <w:p>
      <w:pPr>
        <w:pStyle w:val="5"/>
        <w:shd w:val="clear" w:color="auto" w:fill="FFFFFF"/>
        <w:spacing w:before="0" w:beforeAutospacing="0" w:after="0" w:afterAutospacing="0" w:line="540" w:lineRule="exact"/>
        <w:ind w:firstLine="513"/>
        <w:rPr>
          <w:rFonts w:ascii="仿宋_GB2312" w:hAnsi="微软雅黑" w:eastAsia="仿宋_GB2312"/>
          <w:sz w:val="30"/>
          <w:szCs w:val="30"/>
        </w:rPr>
      </w:pPr>
      <w:r>
        <w:rPr>
          <w:rFonts w:hint="eastAsia" w:ascii="仿宋_GB2312" w:hAnsi="微软雅黑" w:eastAsia="仿宋_GB2312"/>
          <w:sz w:val="30"/>
          <w:szCs w:val="30"/>
        </w:rPr>
        <w:t>4.参评论文纸质文本和“2023年衡阳市中等职业教育优秀论文评选推荐表”（一式一份</w:t>
      </w:r>
      <w:r>
        <w:rPr>
          <w:rFonts w:hint="eastAsia" w:ascii="Times New Roman" w:hAnsi="Times New Roman" w:eastAsia="仿宋_GB2312" w:cs="Times New Roman"/>
          <w:kern w:val="32"/>
          <w:sz w:val="30"/>
          <w:szCs w:val="30"/>
        </w:rPr>
        <w:t>，</w:t>
      </w:r>
      <w:r>
        <w:rPr>
          <w:rFonts w:ascii="Times New Roman" w:hAnsi="Times New Roman" w:eastAsia="仿宋_GB2312" w:cs="Times New Roman"/>
          <w:kern w:val="32"/>
          <w:sz w:val="30"/>
          <w:szCs w:val="30"/>
        </w:rPr>
        <w:t>加盖推荐单位公章</w:t>
      </w:r>
      <w:r>
        <w:rPr>
          <w:rFonts w:hint="eastAsia" w:ascii="仿宋_GB2312" w:hAnsi="微软雅黑" w:eastAsia="仿宋_GB2312"/>
          <w:sz w:val="30"/>
          <w:szCs w:val="30"/>
        </w:rPr>
        <w:t>）送市职成教育中心理论研究室。</w:t>
      </w:r>
      <w:r>
        <w:rPr>
          <w:rFonts w:ascii="Times New Roman" w:hAnsi="Times New Roman" w:eastAsia="仿宋_GB2312" w:cs="Times New Roman"/>
          <w:kern w:val="32"/>
          <w:sz w:val="30"/>
          <w:szCs w:val="30"/>
        </w:rPr>
        <w:t>推荐论文和“参评论文</w:t>
      </w:r>
      <w:r>
        <w:rPr>
          <w:rFonts w:hint="eastAsia" w:ascii="Times New Roman" w:hAnsi="Times New Roman" w:eastAsia="仿宋_GB2312" w:cs="Times New Roman"/>
          <w:kern w:val="32"/>
          <w:sz w:val="30"/>
          <w:szCs w:val="30"/>
        </w:rPr>
        <w:t>推荐表</w:t>
      </w:r>
      <w:r>
        <w:rPr>
          <w:rFonts w:ascii="Times New Roman" w:hAnsi="Times New Roman" w:eastAsia="仿宋_GB2312" w:cs="Times New Roman"/>
          <w:kern w:val="32"/>
          <w:sz w:val="30"/>
          <w:szCs w:val="30"/>
        </w:rPr>
        <w:t>”电子文档一并报送</w:t>
      </w:r>
      <w:r>
        <w:rPr>
          <w:rFonts w:ascii="Times New Roman" w:hAnsi="Times New Roman" w:eastAsia="仿宋_GB2312" w:cs="Times New Roman"/>
          <w:sz w:val="30"/>
          <w:szCs w:val="30"/>
        </w:rPr>
        <w:t>，其</w:t>
      </w:r>
      <w:r>
        <w:rPr>
          <w:rFonts w:ascii="Times New Roman" w:hAnsi="Times New Roman" w:eastAsia="仿宋_GB2312" w:cs="Times New Roman"/>
          <w:kern w:val="32"/>
          <w:sz w:val="30"/>
          <w:szCs w:val="30"/>
        </w:rPr>
        <w:t>格式如下：</w:t>
      </w:r>
      <w:r>
        <w:rPr>
          <w:rFonts w:ascii="Times New Roman" w:hAnsi="Times New Roman" w:eastAsia="仿宋_GB2312" w:cs="Times New Roman"/>
          <w:sz w:val="30"/>
          <w:szCs w:val="30"/>
        </w:rPr>
        <w:t>以学校名称命名建立文件夹，文件夹中每一篇推荐论文的word文档按“序号+姓名+论文题目”命名，并与“参评论文</w:t>
      </w:r>
      <w:r>
        <w:rPr>
          <w:rFonts w:hint="eastAsia" w:ascii="Times New Roman" w:hAnsi="Times New Roman" w:eastAsia="仿宋_GB2312" w:cs="Times New Roman"/>
          <w:sz w:val="30"/>
          <w:szCs w:val="30"/>
        </w:rPr>
        <w:t>推荐表</w:t>
      </w:r>
      <w:r>
        <w:rPr>
          <w:rFonts w:ascii="Times New Roman" w:hAnsi="Times New Roman" w:eastAsia="仿宋_GB2312" w:cs="Times New Roman"/>
          <w:sz w:val="30"/>
          <w:szCs w:val="30"/>
        </w:rPr>
        <w:t>”对应。没有提交电子文档的论文将不予评审。</w:t>
      </w:r>
    </w:p>
    <w:p>
      <w:pPr>
        <w:snapToGrid w:val="0"/>
        <w:spacing w:line="540" w:lineRule="exact"/>
        <w:ind w:firstLine="600" w:firstLineChars="200"/>
        <w:rPr>
          <w:rFonts w:eastAsia="仿宋_GB2312"/>
          <w:color w:val="000000"/>
          <w:kern w:val="0"/>
          <w:sz w:val="30"/>
          <w:szCs w:val="30"/>
        </w:rPr>
      </w:pPr>
      <w:r>
        <w:rPr>
          <w:rFonts w:hint="eastAsia" w:eastAsia="仿宋_GB2312"/>
          <w:color w:val="000000"/>
          <w:kern w:val="0"/>
          <w:sz w:val="30"/>
          <w:szCs w:val="30"/>
        </w:rPr>
        <w:t>5</w:t>
      </w:r>
      <w:r>
        <w:rPr>
          <w:rFonts w:eastAsia="仿宋_GB2312"/>
          <w:color w:val="000000"/>
          <w:kern w:val="0"/>
          <w:sz w:val="30"/>
          <w:szCs w:val="30"/>
        </w:rPr>
        <w:t>.本次论文评审不收取评审费用。</w:t>
      </w:r>
    </w:p>
    <w:p>
      <w:pPr>
        <w:snapToGrid w:val="0"/>
        <w:spacing w:line="540" w:lineRule="exact"/>
        <w:ind w:firstLine="600" w:firstLineChars="200"/>
        <w:rPr>
          <w:rFonts w:eastAsia="黑体"/>
          <w:kern w:val="32"/>
          <w:sz w:val="30"/>
          <w:szCs w:val="30"/>
        </w:rPr>
      </w:pPr>
      <w:r>
        <w:rPr>
          <w:rFonts w:hint="eastAsia" w:eastAsia="黑体"/>
          <w:kern w:val="32"/>
          <w:sz w:val="30"/>
          <w:szCs w:val="30"/>
        </w:rPr>
        <w:t>三</w:t>
      </w:r>
      <w:r>
        <w:rPr>
          <w:rFonts w:eastAsia="黑体"/>
          <w:kern w:val="32"/>
          <w:sz w:val="30"/>
          <w:szCs w:val="30"/>
        </w:rPr>
        <w:t>、评审及奖项设立</w:t>
      </w:r>
    </w:p>
    <w:p>
      <w:pPr>
        <w:widowControl/>
        <w:shd w:val="clear" w:color="auto" w:fill="FFFFFF"/>
        <w:spacing w:line="540" w:lineRule="exact"/>
        <w:ind w:firstLine="57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1.论文评审设一、二、三等奖（其中一等奖20%、二等奖25%、三等奖35%），并由市职业教育和成人教育中心向获奖论文作者颁发获奖证书。</w:t>
      </w:r>
    </w:p>
    <w:p>
      <w:pPr>
        <w:widowControl/>
        <w:shd w:val="clear" w:color="auto" w:fill="FFFFFF"/>
        <w:spacing w:line="540" w:lineRule="exact"/>
        <w:ind w:firstLine="57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2.获得一等奖和部分二等奖的论文，市职业教育和成人教育中心将推荐到湖南省职成教育学会参加论文评审。</w:t>
      </w:r>
    </w:p>
    <w:p>
      <w:pPr>
        <w:snapToGrid w:val="0"/>
        <w:spacing w:line="540" w:lineRule="exact"/>
        <w:ind w:firstLine="600" w:firstLineChars="200"/>
        <w:rPr>
          <w:rFonts w:eastAsia="黑体"/>
          <w:kern w:val="32"/>
          <w:sz w:val="30"/>
          <w:szCs w:val="30"/>
        </w:rPr>
      </w:pPr>
      <w:r>
        <w:rPr>
          <w:rFonts w:hint="eastAsia" w:eastAsia="黑体"/>
          <w:kern w:val="32"/>
          <w:sz w:val="30"/>
          <w:szCs w:val="30"/>
        </w:rPr>
        <w:t>四</w:t>
      </w:r>
      <w:r>
        <w:rPr>
          <w:rFonts w:eastAsia="黑体"/>
          <w:kern w:val="32"/>
          <w:sz w:val="30"/>
          <w:szCs w:val="30"/>
        </w:rPr>
        <w:t>、其他事项</w:t>
      </w:r>
    </w:p>
    <w:p>
      <w:pPr>
        <w:widowControl/>
        <w:shd w:val="clear" w:color="auto" w:fill="FFFFFF"/>
        <w:spacing w:line="540" w:lineRule="exact"/>
        <w:ind w:firstLine="56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1.论文由作者单位统一报送，单位要报送论文清单电子稿一份；</w:t>
      </w:r>
    </w:p>
    <w:p>
      <w:pPr>
        <w:widowControl/>
        <w:shd w:val="clear" w:color="auto" w:fill="FFFFFF"/>
        <w:spacing w:line="540" w:lineRule="exact"/>
        <w:ind w:left="1" w:firstLine="56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2.严禁抄袭论文，对在网上下载和从杂志、文献中抄袭的论文，取消评奖资格，并通报所在单位。</w:t>
      </w:r>
    </w:p>
    <w:p>
      <w:pPr>
        <w:widowControl/>
        <w:shd w:val="clear" w:color="auto" w:fill="FFFFFF"/>
        <w:spacing w:line="540" w:lineRule="exact"/>
        <w:ind w:firstLine="56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3.国家级重点中等职业学校、国家中等职业教育改革发展示范学校、省卓越中等职业学校、省示范性中等职业学校、省楚怡优质中职学校每校至少推荐5篇论文，其中至少有1篇是德育类论文。其他学校至少推荐2篇论文。</w:t>
      </w:r>
    </w:p>
    <w:p>
      <w:pPr>
        <w:widowControl/>
        <w:shd w:val="clear" w:color="auto" w:fill="FFFFFF"/>
        <w:spacing w:line="540" w:lineRule="exact"/>
        <w:ind w:firstLine="56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4.立项的湖南省教育科学“十四五”规划课题和省职业教育教学改革研究项目每个研究组至少推荐1篇与课题研究相关的论文，该论文不计入学校推荐的论文数量。</w:t>
      </w:r>
    </w:p>
    <w:p>
      <w:pPr>
        <w:widowControl/>
        <w:shd w:val="clear" w:color="auto" w:fill="FFFFFF"/>
        <w:spacing w:line="540" w:lineRule="exact"/>
        <w:ind w:firstLine="560"/>
        <w:jc w:val="left"/>
        <w:rPr>
          <w:rFonts w:ascii="仿宋_GB2312" w:hAnsi="微软雅黑" w:eastAsia="仿宋_GB2312" w:cs="宋体"/>
          <w:kern w:val="0"/>
          <w:sz w:val="30"/>
          <w:szCs w:val="30"/>
        </w:rPr>
      </w:pPr>
      <w:r>
        <w:rPr>
          <w:rFonts w:hint="eastAsia" w:ascii="仿宋_GB2312" w:hAnsi="微软雅黑" w:eastAsia="仿宋_GB2312" w:cs="宋体"/>
          <w:kern w:val="0"/>
          <w:sz w:val="30"/>
          <w:szCs w:val="30"/>
        </w:rPr>
        <w:t>5.欢迎各行业协会、企业和学生代表参与论文评选。</w:t>
      </w:r>
    </w:p>
    <w:p>
      <w:pPr>
        <w:widowControl/>
        <w:shd w:val="clear" w:color="auto" w:fill="FFFFFF"/>
        <w:spacing w:line="540" w:lineRule="exact"/>
        <w:ind w:firstLine="570"/>
        <w:rPr>
          <w:rFonts w:ascii="仿宋_GB2312" w:hAnsi="微软雅黑" w:eastAsia="仿宋_GB2312" w:cs="宋体"/>
          <w:kern w:val="0"/>
          <w:sz w:val="30"/>
          <w:szCs w:val="30"/>
        </w:rPr>
      </w:pPr>
      <w:r>
        <w:rPr>
          <w:rFonts w:hint="eastAsia" w:ascii="仿宋_GB2312" w:hAnsi="微软雅黑" w:eastAsia="仿宋_GB2312" w:cs="宋体"/>
          <w:kern w:val="0"/>
          <w:sz w:val="30"/>
          <w:szCs w:val="30"/>
        </w:rPr>
        <w:t>联系人：廖斌  肖艳萍  张小英</w:t>
      </w:r>
    </w:p>
    <w:p>
      <w:pPr>
        <w:widowControl/>
        <w:shd w:val="clear" w:color="auto" w:fill="FFFFFF"/>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联系电话：18173408268  13575239509   18229225550</w:t>
      </w:r>
    </w:p>
    <w:p>
      <w:pPr>
        <w:widowControl/>
        <w:shd w:val="clear" w:color="auto" w:fill="FFFFFF"/>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 xml:space="preserve">QQ：1031885270   </w:t>
      </w:r>
      <w:r>
        <w:rPr>
          <w:rFonts w:ascii="仿宋_GB2312" w:hAnsi="微软雅黑" w:eastAsia="仿宋_GB2312" w:cs="宋体"/>
          <w:kern w:val="0"/>
          <w:sz w:val="30"/>
          <w:szCs w:val="30"/>
        </w:rPr>
        <w:t>22017292</w:t>
      </w:r>
      <w:r>
        <w:rPr>
          <w:rFonts w:hint="eastAsia" w:ascii="仿宋_GB2312" w:hAnsi="微软雅黑" w:eastAsia="仿宋_GB2312" w:cs="宋体"/>
          <w:kern w:val="0"/>
          <w:sz w:val="30"/>
          <w:szCs w:val="30"/>
        </w:rPr>
        <w:t xml:space="preserve">    </w:t>
      </w:r>
      <w:r>
        <w:rPr>
          <w:rFonts w:ascii="仿宋_GB2312" w:hAnsi="微软雅黑" w:eastAsia="仿宋_GB2312" w:cs="宋体"/>
          <w:kern w:val="0"/>
          <w:sz w:val="30"/>
          <w:szCs w:val="30"/>
        </w:rPr>
        <w:t>1071805936</w:t>
      </w:r>
    </w:p>
    <w:p>
      <w:pPr>
        <w:snapToGrid w:val="0"/>
        <w:spacing w:line="540" w:lineRule="exact"/>
        <w:ind w:firstLine="600" w:firstLineChars="200"/>
        <w:rPr>
          <w:rFonts w:eastAsia="仿宋_GB2312"/>
          <w:w w:val="92"/>
          <w:kern w:val="0"/>
          <w:sz w:val="30"/>
          <w:szCs w:val="30"/>
        </w:rPr>
      </w:pPr>
      <w:r>
        <w:rPr>
          <w:rFonts w:eastAsia="仿宋_GB2312"/>
          <w:kern w:val="0"/>
          <w:sz w:val="30"/>
          <w:szCs w:val="30"/>
        </w:rPr>
        <w:t>附：1.</w:t>
      </w:r>
      <w:r>
        <w:rPr>
          <w:rFonts w:hint="eastAsia" w:eastAsia="仿宋_GB2312"/>
          <w:w w:val="92"/>
          <w:kern w:val="0"/>
          <w:sz w:val="30"/>
          <w:szCs w:val="30"/>
        </w:rPr>
        <w:t>衡阳市中等</w:t>
      </w:r>
      <w:r>
        <w:rPr>
          <w:rFonts w:eastAsia="仿宋_GB2312"/>
          <w:w w:val="92"/>
          <w:kern w:val="0"/>
          <w:sz w:val="30"/>
          <w:szCs w:val="30"/>
        </w:rPr>
        <w:t>职业教育优秀论文评选参评论文格式要求</w:t>
      </w:r>
    </w:p>
    <w:p>
      <w:pPr>
        <w:snapToGrid w:val="0"/>
        <w:spacing w:line="540" w:lineRule="exact"/>
        <w:ind w:left="1553" w:leftChars="608" w:hanging="276" w:hangingChars="100"/>
        <w:rPr>
          <w:rFonts w:eastAsia="仿宋_GB2312"/>
          <w:w w:val="92"/>
          <w:kern w:val="0"/>
          <w:sz w:val="30"/>
          <w:szCs w:val="30"/>
        </w:rPr>
      </w:pPr>
      <w:r>
        <w:rPr>
          <w:rFonts w:eastAsia="仿宋_GB2312"/>
          <w:w w:val="92"/>
          <w:kern w:val="0"/>
          <w:sz w:val="30"/>
          <w:szCs w:val="30"/>
        </w:rPr>
        <w:t>2.202</w:t>
      </w:r>
      <w:r>
        <w:rPr>
          <w:rFonts w:hint="eastAsia" w:eastAsia="仿宋_GB2312"/>
          <w:w w:val="92"/>
          <w:kern w:val="0"/>
          <w:sz w:val="30"/>
          <w:szCs w:val="30"/>
        </w:rPr>
        <w:t>3</w:t>
      </w:r>
      <w:r>
        <w:rPr>
          <w:rFonts w:eastAsia="仿宋_GB2312"/>
          <w:w w:val="92"/>
          <w:kern w:val="0"/>
          <w:sz w:val="30"/>
          <w:szCs w:val="30"/>
        </w:rPr>
        <w:t>年</w:t>
      </w:r>
      <w:r>
        <w:rPr>
          <w:rFonts w:hint="eastAsia" w:eastAsia="仿宋_GB2312"/>
          <w:w w:val="92"/>
          <w:kern w:val="0"/>
          <w:sz w:val="30"/>
          <w:szCs w:val="30"/>
        </w:rPr>
        <w:t>衡阳市中等</w:t>
      </w:r>
      <w:r>
        <w:rPr>
          <w:rFonts w:eastAsia="仿宋_GB2312"/>
          <w:w w:val="92"/>
          <w:kern w:val="0"/>
          <w:sz w:val="30"/>
          <w:szCs w:val="30"/>
        </w:rPr>
        <w:t>职业教育优秀论文评选推荐</w:t>
      </w:r>
      <w:r>
        <w:rPr>
          <w:rFonts w:hint="eastAsia" w:eastAsia="仿宋_GB2312"/>
          <w:w w:val="92"/>
          <w:kern w:val="0"/>
          <w:sz w:val="30"/>
          <w:szCs w:val="30"/>
        </w:rPr>
        <w:t>表</w:t>
      </w:r>
    </w:p>
    <w:p>
      <w:pPr>
        <w:pStyle w:val="2"/>
        <w:spacing w:before="0" w:after="0"/>
        <w:rPr>
          <w:sz w:val="30"/>
          <w:szCs w:val="30"/>
        </w:rPr>
      </w:pPr>
    </w:p>
    <w:p>
      <w:pPr>
        <w:snapToGrid w:val="0"/>
        <w:spacing w:line="560" w:lineRule="exact"/>
        <w:rPr>
          <w:rFonts w:eastAsia="仿宋_GB2312"/>
          <w:kern w:val="0"/>
          <w:sz w:val="30"/>
          <w:szCs w:val="30"/>
        </w:rPr>
      </w:pPr>
      <w:r>
        <w:rPr>
          <w:rFonts w:eastAsia="仿宋_GB2312"/>
          <w:kern w:val="0"/>
          <w:sz w:val="30"/>
          <w:szCs w:val="30"/>
        </w:rPr>
        <w:t>                        衡阳市职业教育与成人教育</w:t>
      </w:r>
      <w:r>
        <w:rPr>
          <w:rFonts w:hint="eastAsia" w:eastAsia="仿宋_GB2312"/>
          <w:kern w:val="0"/>
          <w:sz w:val="30"/>
          <w:szCs w:val="30"/>
        </w:rPr>
        <w:t>中心</w:t>
      </w:r>
    </w:p>
    <w:p>
      <w:pPr>
        <w:snapToGrid w:val="0"/>
        <w:spacing w:line="560" w:lineRule="exact"/>
        <w:jc w:val="center"/>
        <w:rPr>
          <w:rFonts w:eastAsia="仿宋_GB2312"/>
          <w:color w:val="000000"/>
          <w:kern w:val="0"/>
          <w:sz w:val="30"/>
          <w:szCs w:val="30"/>
        </w:rPr>
      </w:pPr>
      <w:r>
        <w:rPr>
          <w:rFonts w:eastAsia="仿宋_GB2312"/>
          <w:kern w:val="0"/>
          <w:sz w:val="30"/>
          <w:szCs w:val="30"/>
        </w:rPr>
        <w:t xml:space="preserve">                </w:t>
      </w:r>
      <w:r>
        <w:rPr>
          <w:rFonts w:eastAsia="仿宋_GB2312"/>
          <w:color w:val="000000"/>
          <w:kern w:val="0"/>
          <w:sz w:val="30"/>
          <w:szCs w:val="30"/>
        </w:rPr>
        <w:t xml:space="preserve"> 202</w:t>
      </w:r>
      <w:r>
        <w:rPr>
          <w:rFonts w:hint="eastAsia" w:eastAsia="仿宋_GB2312"/>
          <w:color w:val="000000"/>
          <w:kern w:val="0"/>
          <w:sz w:val="30"/>
          <w:szCs w:val="30"/>
        </w:rPr>
        <w:t>3</w:t>
      </w:r>
      <w:r>
        <w:rPr>
          <w:rFonts w:eastAsia="仿宋_GB2312"/>
          <w:color w:val="000000"/>
          <w:kern w:val="0"/>
          <w:sz w:val="30"/>
          <w:szCs w:val="30"/>
        </w:rPr>
        <w:t>年</w:t>
      </w:r>
      <w:r>
        <w:rPr>
          <w:rFonts w:hint="eastAsia" w:eastAsia="仿宋_GB2312"/>
          <w:color w:val="000000"/>
          <w:kern w:val="0"/>
          <w:sz w:val="30"/>
          <w:szCs w:val="30"/>
        </w:rPr>
        <w:t>5</w:t>
      </w:r>
      <w:r>
        <w:rPr>
          <w:rFonts w:eastAsia="仿宋_GB2312"/>
          <w:color w:val="000000"/>
          <w:kern w:val="0"/>
          <w:sz w:val="30"/>
          <w:szCs w:val="30"/>
        </w:rPr>
        <w:t>月</w:t>
      </w:r>
      <w:r>
        <w:rPr>
          <w:rFonts w:hint="eastAsia" w:eastAsia="仿宋_GB2312"/>
          <w:color w:val="000000"/>
          <w:kern w:val="0"/>
          <w:sz w:val="30"/>
          <w:szCs w:val="30"/>
        </w:rPr>
        <w:t>14</w:t>
      </w:r>
      <w:r>
        <w:rPr>
          <w:rFonts w:eastAsia="仿宋_GB2312"/>
          <w:color w:val="000000"/>
          <w:kern w:val="0"/>
          <w:sz w:val="30"/>
          <w:szCs w:val="30"/>
        </w:rPr>
        <w:t>日</w:t>
      </w:r>
    </w:p>
    <w:p>
      <w:pPr>
        <w:spacing w:line="360" w:lineRule="auto"/>
        <w:jc w:val="left"/>
        <w:rPr>
          <w:rFonts w:eastAsia="黑体"/>
          <w:kern w:val="0"/>
          <w:sz w:val="32"/>
          <w:szCs w:val="32"/>
        </w:rPr>
      </w:pPr>
      <w:r>
        <w:rPr>
          <w:rFonts w:eastAsia="仿宋_GB2312"/>
          <w:bCs/>
          <w:kern w:val="0"/>
          <w:sz w:val="32"/>
          <w:szCs w:val="32"/>
        </w:rPr>
        <w:br w:type="page"/>
      </w:r>
      <w:r>
        <w:rPr>
          <w:rFonts w:eastAsia="黑体"/>
          <w:bCs/>
          <w:kern w:val="0"/>
          <w:sz w:val="32"/>
          <w:szCs w:val="32"/>
        </w:rPr>
        <w:t>附件1：</w:t>
      </w:r>
    </w:p>
    <w:p>
      <w:pPr>
        <w:spacing w:line="600" w:lineRule="exact"/>
        <w:jc w:val="center"/>
        <w:rPr>
          <w:rFonts w:eastAsia="方正小标宋_GBK"/>
          <w:b/>
          <w:bCs/>
          <w:sz w:val="36"/>
          <w:szCs w:val="36"/>
        </w:rPr>
      </w:pPr>
      <w:r>
        <w:rPr>
          <w:rFonts w:hint="eastAsia" w:eastAsia="方正小标宋_GBK"/>
          <w:b/>
          <w:bCs/>
          <w:sz w:val="36"/>
          <w:szCs w:val="36"/>
        </w:rPr>
        <w:t>衡阳市中等</w:t>
      </w:r>
      <w:r>
        <w:rPr>
          <w:rFonts w:eastAsia="方正小标宋_GBK"/>
          <w:b/>
          <w:bCs/>
          <w:sz w:val="36"/>
          <w:szCs w:val="36"/>
        </w:rPr>
        <w:t>职业教育优秀论文评选</w:t>
      </w:r>
    </w:p>
    <w:p>
      <w:pPr>
        <w:spacing w:line="600" w:lineRule="exact"/>
        <w:jc w:val="center"/>
        <w:rPr>
          <w:rFonts w:eastAsia="方正小标宋_GBK"/>
          <w:b/>
          <w:bCs/>
          <w:sz w:val="36"/>
          <w:szCs w:val="36"/>
        </w:rPr>
      </w:pPr>
      <w:r>
        <w:rPr>
          <w:rFonts w:eastAsia="方正小标宋_GBK"/>
          <w:b/>
          <w:bCs/>
          <w:sz w:val="36"/>
          <w:szCs w:val="36"/>
        </w:rPr>
        <w:t>参评论文格式要求</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一、论文标题</w:t>
      </w:r>
      <w:r>
        <w:rPr>
          <w:rFonts w:hint="eastAsia" w:ascii="仿宋_GB2312" w:hAnsi="仿宋_GB2312" w:eastAsia="仿宋_GB2312" w:cs="仿宋_GB2312"/>
          <w:sz w:val="28"/>
          <w:szCs w:val="28"/>
        </w:rPr>
        <w:t>：小一号宋体加粗</w:t>
      </w:r>
    </w:p>
    <w:p>
      <w:pPr>
        <w:spacing w:line="4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二、中文摘要</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1.摘要：小二号黑体加粗居中</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2.摘要内容：小四号宋体  </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3.字数：300字左右 </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4.行间距：25磅</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5.关键词：四号宋体加粗，3-5个</w:t>
      </w:r>
    </w:p>
    <w:p>
      <w:pPr>
        <w:spacing w:line="4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三、正文</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一级标题序号如：一、二、三、标题四号黑体，加粗，顶格。</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二级标题序号如：（一）（二）（三）标题四号宋体，不加粗，顶格。</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三级标题序号如：1.2.3标题四号宋体，不加粗，缩进二个字。</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四级标题序号如：（1)（2)（3）标题四号宋体，不加粗，缩进二个字。</w:t>
      </w:r>
    </w:p>
    <w:p>
      <w:pPr>
        <w:numPr>
          <w:ilvl w:val="0"/>
          <w:numId w:val="1"/>
        </w:num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表格</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每个表格应有表序和表题，表序和表题应在表格上方正中，表序后空一格写表题。</w:t>
      </w:r>
    </w:p>
    <w:p>
      <w:pPr>
        <w:numPr>
          <w:ilvl w:val="0"/>
          <w:numId w:val="1"/>
        </w:num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插图</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每幅图应有图序和图题，图序和图题应在图位下方居中处。</w:t>
      </w:r>
    </w:p>
    <w:p>
      <w:pPr>
        <w:numPr>
          <w:ilvl w:val="0"/>
          <w:numId w:val="2"/>
        </w:numPr>
        <w:spacing w:line="4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结束语</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四号黑体字加粗居中，内容300字左右，四号宋体，行距25磅</w:t>
      </w:r>
    </w:p>
    <w:p>
      <w:pPr>
        <w:numPr>
          <w:ilvl w:val="0"/>
          <w:numId w:val="2"/>
        </w:numPr>
        <w:spacing w:line="4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参考文献</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著作:[序号]作者.译者.书名版本.出版地.出版社.出版时间.引用部分起止页</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期刊:[序号]作者.译者.文章题目.期刊名年份.卷号(期数).引用部分起止页</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会议论文集: [序号]作者.译者.文章名.文集名会址开会年出版地.出版者.出版时间.引用部分起止页。</w:t>
      </w:r>
    </w:p>
    <w:p>
      <w:pPr>
        <w:widowControl/>
        <w:jc w:val="left"/>
      </w:pPr>
      <w:r>
        <w:br w:type="page"/>
      </w:r>
    </w:p>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6" w:charSpace="190"/>
        </w:sectPr>
      </w:pPr>
    </w:p>
    <w:p/>
    <w:p>
      <w:pPr>
        <w:spacing w:line="440" w:lineRule="exact"/>
        <w:jc w:val="left"/>
        <w:rPr>
          <w:rFonts w:eastAsia="黑体"/>
          <w:bCs/>
          <w:kern w:val="0"/>
          <w:sz w:val="32"/>
          <w:szCs w:val="32"/>
        </w:rPr>
      </w:pPr>
      <w:r>
        <w:rPr>
          <w:rFonts w:eastAsia="黑体"/>
          <w:bCs/>
          <w:kern w:val="0"/>
          <w:sz w:val="32"/>
          <w:szCs w:val="32"/>
        </w:rPr>
        <w:t>附件2:</w:t>
      </w:r>
    </w:p>
    <w:p>
      <w:pPr>
        <w:spacing w:line="600" w:lineRule="exact"/>
        <w:jc w:val="center"/>
        <w:rPr>
          <w:rFonts w:eastAsia="方正小标宋_GBK"/>
          <w:bCs/>
          <w:sz w:val="36"/>
          <w:szCs w:val="36"/>
        </w:rPr>
      </w:pPr>
      <w:r>
        <w:rPr>
          <w:rFonts w:eastAsia="方正小标宋_GBK"/>
          <w:bCs/>
          <w:sz w:val="36"/>
          <w:szCs w:val="36"/>
        </w:rPr>
        <w:t>202</w:t>
      </w:r>
      <w:r>
        <w:rPr>
          <w:rFonts w:hint="eastAsia" w:eastAsia="方正小标宋_GBK"/>
          <w:bCs/>
          <w:sz w:val="36"/>
          <w:szCs w:val="36"/>
        </w:rPr>
        <w:t>3</w:t>
      </w:r>
      <w:r>
        <w:rPr>
          <w:rFonts w:eastAsia="方正小标宋_GBK"/>
          <w:bCs/>
          <w:sz w:val="36"/>
          <w:szCs w:val="36"/>
        </w:rPr>
        <w:t>年</w:t>
      </w:r>
      <w:r>
        <w:rPr>
          <w:rFonts w:hint="eastAsia" w:eastAsia="方正小标宋_GBK"/>
          <w:bCs/>
          <w:sz w:val="36"/>
          <w:szCs w:val="36"/>
        </w:rPr>
        <w:t>衡阳市中等</w:t>
      </w:r>
      <w:r>
        <w:rPr>
          <w:rFonts w:eastAsia="方正小标宋_GBK"/>
          <w:bCs/>
          <w:sz w:val="36"/>
          <w:szCs w:val="36"/>
        </w:rPr>
        <w:t>职业教育优秀论文评选推荐</w:t>
      </w:r>
      <w:r>
        <w:rPr>
          <w:rFonts w:hint="eastAsia" w:eastAsia="方正小标宋_GBK"/>
          <w:bCs/>
          <w:sz w:val="36"/>
          <w:szCs w:val="36"/>
        </w:rPr>
        <w:t>表</w:t>
      </w:r>
    </w:p>
    <w:p>
      <w:pPr>
        <w:spacing w:line="456" w:lineRule="auto"/>
        <w:jc w:val="left"/>
        <w:rPr>
          <w:kern w:val="0"/>
          <w:sz w:val="28"/>
          <w:szCs w:val="28"/>
        </w:rPr>
      </w:pPr>
      <w:r>
        <w:rPr>
          <w:rFonts w:eastAsia="仿宋_GB2312"/>
          <w:kern w:val="0"/>
          <w:sz w:val="30"/>
        </w:rPr>
        <w:t> </w:t>
      </w:r>
      <w:r>
        <w:rPr>
          <w:rFonts w:eastAsia="仿宋_GB2312"/>
          <w:kern w:val="0"/>
          <w:sz w:val="28"/>
          <w:szCs w:val="28"/>
        </w:rPr>
        <w:t>推荐单位</w:t>
      </w:r>
      <w:r>
        <w:rPr>
          <w:rFonts w:eastAsia="仿宋_GB2312"/>
          <w:kern w:val="0"/>
          <w:sz w:val="28"/>
          <w:szCs w:val="28"/>
          <w:u w:val="single"/>
        </w:rPr>
        <w:t xml:space="preserve">                </w:t>
      </w:r>
      <w:r>
        <w:rPr>
          <w:rFonts w:eastAsia="仿宋_GB2312"/>
          <w:kern w:val="0"/>
          <w:sz w:val="28"/>
          <w:szCs w:val="28"/>
        </w:rPr>
        <w:t>（盖章）  联系人</w:t>
      </w:r>
      <w:r>
        <w:rPr>
          <w:rFonts w:eastAsia="仿宋_GB2312"/>
          <w:kern w:val="0"/>
          <w:sz w:val="28"/>
          <w:szCs w:val="28"/>
          <w:u w:val="single"/>
        </w:rPr>
        <w:t xml:space="preserve">             </w:t>
      </w:r>
      <w:r>
        <w:rPr>
          <w:rFonts w:eastAsia="仿宋_GB2312"/>
          <w:kern w:val="0"/>
          <w:sz w:val="28"/>
          <w:szCs w:val="28"/>
        </w:rPr>
        <w:t xml:space="preserve">   联系电话</w:t>
      </w:r>
      <w:r>
        <w:rPr>
          <w:rFonts w:eastAsia="仿宋_GB2312"/>
          <w:kern w:val="0"/>
          <w:sz w:val="28"/>
          <w:szCs w:val="28"/>
          <w:u w:val="single"/>
        </w:rPr>
        <w:t xml:space="preserve">                </w:t>
      </w:r>
      <w:r>
        <w:rPr>
          <w:rFonts w:eastAsia="仿宋_GB2312"/>
          <w:kern w:val="0"/>
          <w:sz w:val="28"/>
          <w:szCs w:val="28"/>
        </w:rPr>
        <w:t xml:space="preserve">   202</w:t>
      </w:r>
      <w:r>
        <w:rPr>
          <w:rFonts w:hint="eastAsia" w:eastAsia="仿宋_GB2312"/>
          <w:kern w:val="0"/>
          <w:sz w:val="28"/>
          <w:szCs w:val="28"/>
          <w:lang w:val="en-US" w:eastAsia="zh-CN"/>
        </w:rPr>
        <w:t>3</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680"/>
        <w:gridCol w:w="1620"/>
        <w:gridCol w:w="3501"/>
        <w:gridCol w:w="192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eastAsia="仿宋_GB2312"/>
                <w:kern w:val="0"/>
                <w:sz w:val="28"/>
                <w:szCs w:val="28"/>
              </w:rPr>
              <w:t>序号</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eastAsia="仿宋_GB2312"/>
                <w:kern w:val="0"/>
                <w:sz w:val="28"/>
                <w:szCs w:val="28"/>
              </w:rPr>
              <w:t>论文题目</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eastAsia="仿宋_GB2312"/>
                <w:kern w:val="0"/>
                <w:sz w:val="28"/>
                <w:szCs w:val="28"/>
              </w:rPr>
              <w:t>作者姓名</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eastAsia="仿宋_GB2312"/>
                <w:kern w:val="0"/>
                <w:sz w:val="28"/>
                <w:szCs w:val="28"/>
              </w:rPr>
              <w:t>作者单位</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28"/>
                <w:szCs w:val="28"/>
              </w:rPr>
            </w:pPr>
            <w:r>
              <w:rPr>
                <w:rFonts w:eastAsia="仿宋_GB2312"/>
                <w:kern w:val="0"/>
                <w:sz w:val="28"/>
                <w:szCs w:val="28"/>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28"/>
                <w:szCs w:val="28"/>
              </w:rPr>
            </w:pPr>
            <w:r>
              <w:rPr>
                <w:rFonts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36"/>
                <w:szCs w:val="36"/>
              </w:rPr>
            </w:pP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36"/>
                <w:szCs w:val="36"/>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36"/>
                <w:szCs w:val="36"/>
              </w:rPr>
            </w:pP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36"/>
                <w:szCs w:val="36"/>
              </w:rPr>
            </w:pP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468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c>
          <w:tcPr>
            <w:tcW w:w="1924" w:type="dxa"/>
            <w:tcBorders>
              <w:top w:val="single" w:color="auto" w:sz="4" w:space="0"/>
              <w:left w:val="single" w:color="auto" w:sz="4" w:space="0"/>
              <w:bottom w:val="single" w:color="auto" w:sz="4" w:space="0"/>
              <w:right w:val="single" w:color="auto" w:sz="4" w:space="0"/>
            </w:tcBorders>
          </w:tcPr>
          <w:p>
            <w:pPr>
              <w:jc w:val="center"/>
              <w:rPr>
                <w:rFonts w:eastAsia="仿宋_GB2312"/>
                <w:kern w:val="0"/>
                <w:sz w:val="36"/>
                <w:szCs w:val="36"/>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eastAsia="仿宋_GB2312"/>
                <w:kern w:val="0"/>
                <w:sz w:val="36"/>
                <w:szCs w:val="36"/>
              </w:rPr>
              <w:t> </w:t>
            </w:r>
          </w:p>
        </w:tc>
      </w:tr>
    </w:tbl>
    <w:p>
      <w:pPr>
        <w:spacing w:line="440" w:lineRule="exact"/>
        <w:jc w:val="left"/>
        <w:rPr>
          <w:rFonts w:eastAsia="仿宋_GB2312"/>
        </w:rPr>
      </w:pPr>
      <w:r>
        <w:rPr>
          <w:rFonts w:eastAsia="仿宋_GB2312"/>
          <w:kern w:val="0"/>
          <w:sz w:val="24"/>
        </w:rPr>
        <w:t>说明：1.本表可按论文申报数量增加行；2.请将本表随论文一起交</w:t>
      </w:r>
      <w:r>
        <w:rPr>
          <w:rFonts w:hint="eastAsia" w:eastAsia="仿宋_GB2312"/>
          <w:kern w:val="0"/>
          <w:sz w:val="24"/>
        </w:rPr>
        <w:t>市职业教育和成人教育中心理论室51</w:t>
      </w:r>
      <w:r>
        <w:rPr>
          <w:rFonts w:hint="eastAsia" w:eastAsia="仿宋_GB2312"/>
          <w:kern w:val="0"/>
          <w:sz w:val="24"/>
          <w:lang w:val="en-US" w:eastAsia="zh-CN"/>
        </w:rPr>
        <w:t>3</w:t>
      </w:r>
      <w:r>
        <w:rPr>
          <w:rFonts w:hint="eastAsia" w:eastAsia="仿宋_GB2312"/>
          <w:kern w:val="0"/>
          <w:sz w:val="24"/>
        </w:rPr>
        <w:t>室</w:t>
      </w:r>
      <w:r>
        <w:rPr>
          <w:rFonts w:eastAsia="仿宋_GB2312"/>
          <w:kern w:val="0"/>
          <w:sz w:val="24"/>
        </w:rPr>
        <w:t>，勿贴在论文或材料袋上；3.推荐单位名称需与公章一致。</w:t>
      </w:r>
    </w:p>
    <w:p>
      <w:bookmarkStart w:id="0" w:name="_GoBack"/>
      <w:bookmarkEnd w:id="0"/>
    </w:p>
    <w:sectPr>
      <w:pgSz w:w="16838" w:h="11906" w:orient="landscape"/>
      <w:pgMar w:top="1418" w:right="1134" w:bottom="1418" w:left="1134" w:header="851" w:footer="992" w:gutter="0"/>
      <w:cols w:space="720" w:num="1"/>
      <w:docGrid w:type="lines" w:linePitch="316"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方正小标宋_GBK">
    <w:altName w:val="Arial Unicode MS"/>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B8D8"/>
    <w:multiLevelType w:val="singleLevel"/>
    <w:tmpl w:val="A7BBB8D8"/>
    <w:lvl w:ilvl="0" w:tentative="0">
      <w:start w:val="3"/>
      <w:numFmt w:val="chineseCounting"/>
      <w:suff w:val="nothing"/>
      <w:lvlText w:val="（%1）"/>
      <w:lvlJc w:val="left"/>
      <w:rPr>
        <w:rFonts w:hint="eastAsia"/>
      </w:rPr>
    </w:lvl>
  </w:abstractNum>
  <w:abstractNum w:abstractNumId="1">
    <w:nsid w:val="7F56F71B"/>
    <w:multiLevelType w:val="singleLevel"/>
    <w:tmpl w:val="7F56F71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1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RmOTY1OGI4ZmM2NWQyYzFmYTllYzA3ZjEzYWQ0ODIifQ=="/>
  </w:docVars>
  <w:rsids>
    <w:rsidRoot w:val="00AC5731"/>
    <w:rsid w:val="000C4A04"/>
    <w:rsid w:val="00575F21"/>
    <w:rsid w:val="005F41C8"/>
    <w:rsid w:val="008071D0"/>
    <w:rsid w:val="00853EC6"/>
    <w:rsid w:val="008A40CD"/>
    <w:rsid w:val="008E0049"/>
    <w:rsid w:val="00AC5731"/>
    <w:rsid w:val="00B24C3C"/>
    <w:rsid w:val="00BA5D26"/>
    <w:rsid w:val="500D4CCA"/>
    <w:rsid w:val="7DDD3268"/>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标题 2 Char"/>
    <w:basedOn w:val="7"/>
    <w:link w:val="2"/>
    <w:semiHidden/>
    <w:uiPriority w:val="9"/>
    <w:rPr>
      <w:rFonts w:asciiTheme="majorHAnsi" w:hAnsiTheme="majorHAnsi" w:eastAsiaTheme="majorEastAsia" w:cstheme="majorBidi"/>
      <w:b/>
      <w:bCs/>
      <w:sz w:val="32"/>
      <w:szCs w:val="32"/>
    </w:rPr>
  </w:style>
  <w:style w:type="character" w:customStyle="1" w:styleId="10">
    <w:name w:val="页脚 Char"/>
    <w:basedOn w:val="7"/>
    <w:link w:val="3"/>
    <w:uiPriority w:val="0"/>
    <w:rPr>
      <w:rFonts w:ascii="Times New Roman" w:hAnsi="Times New Roman" w:eastAsia="宋体" w:cs="Times New Roman"/>
      <w:sz w:val="18"/>
      <w:szCs w:val="18"/>
    </w:rPr>
  </w:style>
  <w:style w:type="character" w:customStyle="1" w:styleId="11">
    <w:name w:val="页眉 Char"/>
    <w:basedOn w:val="7"/>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2254</Words>
  <Characters>2402</Characters>
  <Lines>19</Lines>
  <Paragraphs>5</Paragraphs>
  <TotalTime>19</TotalTime>
  <ScaleCrop>false</ScaleCrop>
  <LinksUpToDate>false</LinksUpToDate>
  <CharactersWithSpaces>2593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2023-06-25T07:06:00Z</dcterms:created>
  <dc:creator>PC</dc:creator>
  <cp:lastModifiedBy>吉吉</cp:lastModifiedBy>
  <dcterms:modified xsi:type="dcterms:W3CDTF">2023-06-25T07:27:32Z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D1893B2242D349AC813D6CA2F0462E3B_12</vt:lpwstr>
  </property>
</Properties>
</file>